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53" w:rsidRDefault="00380012" w:rsidP="003D1B59">
      <w:pPr>
        <w:pBdr>
          <w:top w:val="single" w:sz="4" w:space="1" w:color="auto"/>
          <w:left w:val="single" w:sz="4" w:space="4" w:color="auto"/>
          <w:bottom w:val="single" w:sz="4" w:space="1" w:color="auto"/>
          <w:right w:val="single" w:sz="4" w:space="4" w:color="auto"/>
        </w:pBdr>
        <w:jc w:val="center"/>
        <w:rPr>
          <w:b/>
        </w:rPr>
      </w:pPr>
      <w:r w:rsidRPr="003D1B59">
        <w:rPr>
          <w:b/>
        </w:rPr>
        <w:t>AAP</w:t>
      </w:r>
    </w:p>
    <w:p w:rsidR="003D1B59" w:rsidRPr="003F79AE" w:rsidRDefault="003F79AE" w:rsidP="003D1B59">
      <w:pPr>
        <w:pBdr>
          <w:top w:val="single" w:sz="4" w:space="1" w:color="auto"/>
          <w:left w:val="single" w:sz="4" w:space="4" w:color="auto"/>
          <w:bottom w:val="single" w:sz="4" w:space="1" w:color="auto"/>
          <w:right w:val="single" w:sz="4" w:space="4" w:color="auto"/>
        </w:pBdr>
        <w:jc w:val="center"/>
        <w:rPr>
          <w:b/>
        </w:rPr>
      </w:pPr>
      <w:r w:rsidRPr="003F79AE">
        <w:t>« Connaître les émissions de micropolluants des stations d’épuration »</w:t>
      </w:r>
    </w:p>
    <w:p w:rsidR="00050E65" w:rsidRDefault="00050E65" w:rsidP="003D1B59"/>
    <w:p w:rsidR="003F79AE" w:rsidRPr="003F79AE" w:rsidRDefault="003F79AE" w:rsidP="003D1B59">
      <w:pPr>
        <w:rPr>
          <w:b/>
          <w:u w:val="single"/>
        </w:rPr>
      </w:pPr>
      <w:r w:rsidRPr="003F79AE">
        <w:rPr>
          <w:b/>
          <w:u w:val="single"/>
        </w:rPr>
        <w:t xml:space="preserve">Objectifs : </w:t>
      </w:r>
    </w:p>
    <w:p w:rsidR="0087450E" w:rsidRPr="002115BB" w:rsidRDefault="002115BB" w:rsidP="00692499">
      <w:pPr>
        <w:pStyle w:val="Paragraphedeliste"/>
        <w:numPr>
          <w:ilvl w:val="0"/>
          <w:numId w:val="5"/>
        </w:numPr>
        <w:rPr>
          <w:b/>
          <w:smallCaps/>
        </w:rPr>
      </w:pPr>
      <w:r w:rsidRPr="002115BB">
        <w:rPr>
          <w:b/>
          <w:smallCaps/>
        </w:rPr>
        <w:t>Accompagner la mise en œuvre de l’action nationale RSDE pour les stations d’épuration urbaine</w:t>
      </w:r>
    </w:p>
    <w:p w:rsidR="0087450E" w:rsidRPr="002115BB" w:rsidRDefault="002115BB" w:rsidP="00692499">
      <w:pPr>
        <w:pStyle w:val="Paragraphedeliste"/>
        <w:numPr>
          <w:ilvl w:val="0"/>
          <w:numId w:val="5"/>
        </w:numPr>
        <w:rPr>
          <w:b/>
          <w:smallCaps/>
        </w:rPr>
      </w:pPr>
      <w:r w:rsidRPr="002115BB">
        <w:rPr>
          <w:b/>
          <w:smallCaps/>
        </w:rPr>
        <w:t xml:space="preserve">Aller plus loin que la réglementation en intégrant les micropolluants </w:t>
      </w:r>
      <w:proofErr w:type="gramStart"/>
      <w:r w:rsidRPr="002115BB">
        <w:rPr>
          <w:b/>
          <w:smallCaps/>
        </w:rPr>
        <w:t>stockés</w:t>
      </w:r>
      <w:proofErr w:type="gramEnd"/>
      <w:r w:rsidRPr="002115BB">
        <w:rPr>
          <w:b/>
          <w:smallCaps/>
        </w:rPr>
        <w:t xml:space="preserve"> dans les boues d’épuration</w:t>
      </w:r>
    </w:p>
    <w:p w:rsidR="002115BB" w:rsidRPr="002115BB" w:rsidRDefault="002115BB" w:rsidP="002115BB">
      <w:pPr>
        <w:rPr>
          <w:b/>
          <w:smallCaps/>
        </w:rPr>
      </w:pPr>
    </w:p>
    <w:p w:rsidR="002115BB" w:rsidRPr="002115BB" w:rsidRDefault="002115BB" w:rsidP="002115BB">
      <w:r w:rsidRPr="002115BB">
        <w:t>Ces actions de connaissances serviront à orienter les opérations de réduction vers les micropolluants les plus présents</w:t>
      </w:r>
    </w:p>
    <w:p w:rsidR="0087450E" w:rsidRDefault="0087450E" w:rsidP="003D1B59"/>
    <w:p w:rsidR="003F79AE" w:rsidRPr="003F79AE" w:rsidRDefault="003F79AE" w:rsidP="00A7025C">
      <w:pPr>
        <w:rPr>
          <w:rFonts w:cs="Arial"/>
          <w:b/>
          <w:u w:val="single"/>
        </w:rPr>
      </w:pPr>
      <w:r w:rsidRPr="003F79AE">
        <w:rPr>
          <w:rFonts w:cs="Arial"/>
          <w:b/>
          <w:u w:val="single"/>
        </w:rPr>
        <w:t xml:space="preserve">Contexte et réglementation </w:t>
      </w:r>
    </w:p>
    <w:p w:rsidR="002E17EC" w:rsidRDefault="002E17EC" w:rsidP="002E17EC">
      <w:pPr>
        <w:rPr>
          <w:rFonts w:cs="Arial"/>
        </w:rPr>
      </w:pPr>
      <w:r>
        <w:rPr>
          <w:rFonts w:cs="Arial"/>
        </w:rPr>
        <w:t xml:space="preserve">Les premières campagnes d’analyses de </w:t>
      </w:r>
      <w:r w:rsidRPr="00865A49">
        <w:rPr>
          <w:rFonts w:cs="Arial"/>
        </w:rPr>
        <w:t>Recherche et Réduction des Substances Dangereuses pour l’Eau</w:t>
      </w:r>
      <w:r>
        <w:rPr>
          <w:rFonts w:cs="Arial"/>
        </w:rPr>
        <w:t xml:space="preserve"> (RSDE) en station d’épuration (2011-2012) ont été accompagnées par l’agence (215 stations d’épuration pour 1.3 millions d’euros d’aide agence).</w:t>
      </w:r>
    </w:p>
    <w:p w:rsidR="002E17EC" w:rsidRDefault="002E17EC" w:rsidP="002E17EC">
      <w:pPr>
        <w:rPr>
          <w:rFonts w:cs="Arial"/>
        </w:rPr>
      </w:pPr>
      <w:r>
        <w:rPr>
          <w:rFonts w:cs="Arial"/>
          <w:bCs/>
        </w:rPr>
        <w:t xml:space="preserve">Les résultats de ces campagnes ont servi de base aux </w:t>
      </w:r>
      <w:r w:rsidRPr="00865A49">
        <w:rPr>
          <w:rFonts w:cs="Arial"/>
          <w:bCs/>
        </w:rPr>
        <w:t xml:space="preserve">opérations collectives contractuelles, territoriales ou sectorielles </w:t>
      </w:r>
      <w:r>
        <w:rPr>
          <w:rFonts w:cs="Arial"/>
          <w:bCs/>
        </w:rPr>
        <w:t xml:space="preserve">mises en place par l’agence pour la réduction des pollutions toxiques des agglomérations. </w:t>
      </w:r>
      <w:r w:rsidRPr="00865A49">
        <w:rPr>
          <w:rFonts w:cs="Arial"/>
          <w:bCs/>
        </w:rPr>
        <w:t>Aujourd’hui, près de 60% de la capacité épuratoire visée par RSDE est concernée par une opération collective (51 opérations contractualisées).</w:t>
      </w:r>
    </w:p>
    <w:p w:rsidR="007C6307" w:rsidRPr="003F79AE" w:rsidRDefault="007C6307" w:rsidP="00A7025C">
      <w:pPr>
        <w:rPr>
          <w:highlight w:val="yellow"/>
        </w:rPr>
      </w:pPr>
    </w:p>
    <w:p w:rsidR="002E17EC" w:rsidRDefault="002E17EC" w:rsidP="002E17EC">
      <w:pPr>
        <w:rPr>
          <w:rFonts w:cs="Arial"/>
        </w:rPr>
      </w:pPr>
      <w:r w:rsidRPr="00865A49">
        <w:rPr>
          <w:rFonts w:cs="Arial"/>
        </w:rPr>
        <w:t>Dans sa note technique du 12/08/2016, la Direction de l</w:t>
      </w:r>
      <w:r>
        <w:rPr>
          <w:rFonts w:cs="Arial"/>
        </w:rPr>
        <w:t>’Eau et de la Biodiversité du MTES</w:t>
      </w:r>
      <w:r w:rsidRPr="00865A49">
        <w:rPr>
          <w:rFonts w:cs="Arial"/>
        </w:rPr>
        <w:t xml:space="preserve"> précise les nouvelles modalités de l’action RSDE pour les stations de traitement des eaux usées urbaines (STEU) d’une capacité nominale supérieure ou égale à </w:t>
      </w:r>
      <w:r w:rsidRPr="00767508">
        <w:rPr>
          <w:rFonts w:cs="Arial"/>
          <w:b/>
        </w:rPr>
        <w:t>10 000 équivalents habitants</w:t>
      </w:r>
      <w:r w:rsidRPr="00865A49">
        <w:rPr>
          <w:rFonts w:cs="Arial"/>
        </w:rPr>
        <w:t>.</w:t>
      </w:r>
      <w:bookmarkStart w:id="0" w:name="_GoBack"/>
      <w:bookmarkEnd w:id="0"/>
    </w:p>
    <w:p w:rsidR="002E17EC" w:rsidRPr="00865A49" w:rsidRDefault="002E17EC" w:rsidP="002E17EC">
      <w:pPr>
        <w:rPr>
          <w:rFonts w:cs="Arial"/>
        </w:rPr>
      </w:pPr>
      <w:r>
        <w:rPr>
          <w:rFonts w:cs="Arial"/>
        </w:rPr>
        <w:t xml:space="preserve">Une nouvelle campagne d’analyse est à conduire en 2018 et devra débuter au plus tard le 30 juin 2018. Pour cette campagne, il est prévu 6 analyses en entrée et en sortie de station </w:t>
      </w:r>
      <w:r w:rsidR="00D965B5">
        <w:rPr>
          <w:rFonts w:cs="Arial"/>
        </w:rPr>
        <w:t>pour</w:t>
      </w:r>
      <w:r>
        <w:rPr>
          <w:rFonts w:cs="Arial"/>
        </w:rPr>
        <w:t xml:space="preserve"> une centaine de micropolluants</w:t>
      </w:r>
      <w:r w:rsidR="00201FE1">
        <w:rPr>
          <w:rFonts w:cs="Arial"/>
        </w:rPr>
        <w:t xml:space="preserve"> (110 substances en entrée de station et 91 en sortie de station)</w:t>
      </w:r>
      <w:r>
        <w:rPr>
          <w:rFonts w:cs="Arial"/>
        </w:rPr>
        <w:t xml:space="preserve">. </w:t>
      </w:r>
    </w:p>
    <w:p w:rsidR="002927A7" w:rsidRDefault="002927A7" w:rsidP="003D1B59"/>
    <w:p w:rsidR="003D1B59" w:rsidRPr="003D1B59" w:rsidRDefault="003D1B59" w:rsidP="003D1B59">
      <w:pPr>
        <w:rPr>
          <w:b/>
          <w:u w:val="single"/>
        </w:rPr>
      </w:pPr>
      <w:r w:rsidRPr="003D1B59">
        <w:rPr>
          <w:b/>
          <w:u w:val="single"/>
        </w:rPr>
        <w:t xml:space="preserve">A qui s’adresse l’appel à projets ? </w:t>
      </w:r>
    </w:p>
    <w:p w:rsidR="003D1B59" w:rsidRDefault="00DE165C" w:rsidP="00DE165C">
      <w:pPr>
        <w:rPr>
          <w:b/>
        </w:rPr>
      </w:pPr>
      <w:r>
        <w:rPr>
          <w:b/>
        </w:rPr>
        <w:t xml:space="preserve">Aux </w:t>
      </w:r>
      <w:r w:rsidR="003F79AE">
        <w:rPr>
          <w:b/>
        </w:rPr>
        <w:t>maîtres d’ouvrage des stations concernées par l’action RSDE</w:t>
      </w:r>
      <w:r w:rsidR="003D1B59" w:rsidRPr="003D1B59">
        <w:rPr>
          <w:b/>
        </w:rPr>
        <w:t> :</w:t>
      </w:r>
      <w:r>
        <w:rPr>
          <w:b/>
        </w:rPr>
        <w:t xml:space="preserve"> </w:t>
      </w:r>
    </w:p>
    <w:p w:rsidR="00DE165C" w:rsidRPr="00DE165C" w:rsidRDefault="003F79AE" w:rsidP="00DE165C">
      <w:pPr>
        <w:pStyle w:val="Paragraphedeliste"/>
        <w:numPr>
          <w:ilvl w:val="0"/>
          <w:numId w:val="2"/>
        </w:numPr>
      </w:pPr>
      <w:r>
        <w:t>Les maîtres d’ouvrage des stations de plus de 10 000 EH</w:t>
      </w:r>
      <w:r w:rsidR="00DE165C" w:rsidRPr="00DE165C">
        <w:t xml:space="preserve"> ; </w:t>
      </w:r>
    </w:p>
    <w:p w:rsidR="00DE165C" w:rsidRPr="00DE165C" w:rsidRDefault="00DE165C" w:rsidP="00DE165C">
      <w:pPr>
        <w:pStyle w:val="Paragraphedeliste"/>
        <w:numPr>
          <w:ilvl w:val="0"/>
          <w:numId w:val="2"/>
        </w:numPr>
      </w:pPr>
      <w:r w:rsidRPr="00DE165C">
        <w:t xml:space="preserve">Les </w:t>
      </w:r>
      <w:r w:rsidR="003F79AE">
        <w:t>entreprises privées dans le strict cadre d’une concession de travaux</w:t>
      </w:r>
      <w:r w:rsidRPr="00DE165C">
        <w:t xml:space="preserve">. </w:t>
      </w:r>
    </w:p>
    <w:p w:rsidR="003D1B59" w:rsidRDefault="003D1B59" w:rsidP="003D1B59"/>
    <w:p w:rsidR="003D1B59" w:rsidRPr="003D1B59" w:rsidRDefault="003D1B59" w:rsidP="003D1B59">
      <w:pPr>
        <w:rPr>
          <w:b/>
          <w:u w:val="single"/>
        </w:rPr>
      </w:pPr>
      <w:r w:rsidRPr="003D1B59">
        <w:rPr>
          <w:b/>
          <w:u w:val="single"/>
        </w:rPr>
        <w:t xml:space="preserve">Quels projets sont soutenus ? </w:t>
      </w:r>
    </w:p>
    <w:p w:rsidR="00D40034" w:rsidRDefault="00D40034" w:rsidP="00D40034">
      <w:pPr>
        <w:rPr>
          <w:color w:val="000000"/>
        </w:rPr>
      </w:pPr>
      <w:r>
        <w:rPr>
          <w:color w:val="000000"/>
        </w:rPr>
        <w:t xml:space="preserve">Les projets, pour être financés, comprennent </w:t>
      </w:r>
      <w:r w:rsidRPr="008D521F">
        <w:rPr>
          <w:b/>
          <w:color w:val="000000"/>
        </w:rPr>
        <w:t>obligatoirement </w:t>
      </w:r>
      <w:r>
        <w:rPr>
          <w:color w:val="000000"/>
        </w:rPr>
        <w:t xml:space="preserve">: </w:t>
      </w:r>
    </w:p>
    <w:p w:rsidR="00D40034" w:rsidRDefault="00D40034" w:rsidP="00D40034">
      <w:pPr>
        <w:numPr>
          <w:ilvl w:val="0"/>
          <w:numId w:val="7"/>
        </w:numPr>
        <w:rPr>
          <w:color w:val="000000"/>
        </w:rPr>
      </w:pPr>
      <w:r>
        <w:rPr>
          <w:color w:val="000000"/>
        </w:rPr>
        <w:t xml:space="preserve">Les analyses réglementaires RSDE telles que prescrites par arrêté sur les compartiments eau d’entrée et eau de sortie de la station d’épuration. Les analyses sont réalisées dans le strict respect des modalités d’analyse et de prélèvement prévues dans la note technique du 12/08/2016 ; </w:t>
      </w:r>
    </w:p>
    <w:p w:rsidR="00D40034" w:rsidRDefault="00D40034" w:rsidP="00D40034">
      <w:pPr>
        <w:numPr>
          <w:ilvl w:val="0"/>
          <w:numId w:val="7"/>
        </w:numPr>
        <w:rPr>
          <w:color w:val="000000"/>
        </w:rPr>
      </w:pPr>
      <w:r w:rsidRPr="006B0ABB">
        <w:rPr>
          <w:b/>
          <w:color w:val="000000"/>
        </w:rPr>
        <w:t xml:space="preserve">Au moins 3 analyses sur le compartiment </w:t>
      </w:r>
      <w:r>
        <w:rPr>
          <w:b/>
          <w:color w:val="000000"/>
        </w:rPr>
        <w:t>« </w:t>
      </w:r>
      <w:r w:rsidRPr="006B0ABB">
        <w:rPr>
          <w:b/>
          <w:color w:val="000000"/>
        </w:rPr>
        <w:t>boues</w:t>
      </w:r>
      <w:r>
        <w:rPr>
          <w:b/>
          <w:color w:val="000000"/>
        </w:rPr>
        <w:t> »</w:t>
      </w:r>
      <w:r>
        <w:rPr>
          <w:color w:val="000000"/>
        </w:rPr>
        <w:t xml:space="preserve">. Les analyses sont couplées avec celles sur l’eau (entrée, sortie et boues réalisées simultanément sur 3 des 6 campagnes réglementaires). La liste des substances à analyser et les modalités techniques de prélèvement et d’analyse sont définies en annexe du règlement de l’AAP. </w:t>
      </w:r>
    </w:p>
    <w:p w:rsidR="00DE165C" w:rsidRDefault="00DE165C" w:rsidP="003D1B59"/>
    <w:p w:rsidR="00912EA1" w:rsidRPr="00912EA1" w:rsidRDefault="00912EA1" w:rsidP="003D1B59">
      <w:pPr>
        <w:rPr>
          <w:b/>
          <w:u w:val="single"/>
        </w:rPr>
      </w:pPr>
      <w:r w:rsidRPr="00912EA1">
        <w:rPr>
          <w:b/>
          <w:u w:val="single"/>
        </w:rPr>
        <w:t xml:space="preserve">Les actions financées : </w:t>
      </w:r>
    </w:p>
    <w:p w:rsidR="00912EA1" w:rsidRDefault="00912EA1" w:rsidP="00912EA1">
      <w:pPr>
        <w:rPr>
          <w:rFonts w:cs="Arial"/>
          <w:bCs/>
        </w:rPr>
      </w:pPr>
      <w:r>
        <w:rPr>
          <w:rFonts w:cs="Arial"/>
          <w:bCs/>
        </w:rPr>
        <w:t>Cet appel à projets donne accès à des subventions pour :</w:t>
      </w:r>
    </w:p>
    <w:p w:rsidR="00912EA1" w:rsidRPr="00912EA1" w:rsidRDefault="00912EA1" w:rsidP="00912EA1">
      <w:pPr>
        <w:numPr>
          <w:ilvl w:val="0"/>
          <w:numId w:val="7"/>
        </w:numPr>
        <w:rPr>
          <w:color w:val="000000"/>
        </w:rPr>
      </w:pPr>
      <w:r w:rsidRPr="00912EA1">
        <w:rPr>
          <w:color w:val="000000"/>
        </w:rPr>
        <w:t xml:space="preserve">Les prestations de prélèvement par un organisme tiers ; </w:t>
      </w:r>
    </w:p>
    <w:p w:rsidR="00912EA1" w:rsidRPr="00912EA1" w:rsidRDefault="00912EA1" w:rsidP="00912EA1">
      <w:pPr>
        <w:numPr>
          <w:ilvl w:val="0"/>
          <w:numId w:val="7"/>
        </w:numPr>
        <w:rPr>
          <w:color w:val="000000"/>
        </w:rPr>
      </w:pPr>
      <w:r w:rsidRPr="00912EA1">
        <w:rPr>
          <w:color w:val="000000"/>
        </w:rPr>
        <w:t xml:space="preserve">La location d’un matériel de prélèvement compatible avec l’analyse des micropolluants ; </w:t>
      </w:r>
    </w:p>
    <w:p w:rsidR="00912EA1" w:rsidRPr="00912EA1" w:rsidRDefault="00912EA1" w:rsidP="00912EA1">
      <w:pPr>
        <w:numPr>
          <w:ilvl w:val="0"/>
          <w:numId w:val="7"/>
        </w:numPr>
        <w:rPr>
          <w:color w:val="000000"/>
        </w:rPr>
      </w:pPr>
      <w:r w:rsidRPr="00912EA1">
        <w:rPr>
          <w:color w:val="000000"/>
        </w:rPr>
        <w:t xml:space="preserve">Les prestations d’analyse eau et boues par un laboratoire extérieur. </w:t>
      </w:r>
    </w:p>
    <w:p w:rsidR="00912EA1" w:rsidRDefault="00912EA1" w:rsidP="003D1B59"/>
    <w:p w:rsidR="003D1B59" w:rsidRPr="003D1B59" w:rsidRDefault="003D1B59" w:rsidP="003D1B59">
      <w:pPr>
        <w:rPr>
          <w:b/>
          <w:u w:val="single"/>
        </w:rPr>
      </w:pPr>
      <w:r w:rsidRPr="003D1B59">
        <w:rPr>
          <w:b/>
          <w:u w:val="single"/>
        </w:rPr>
        <w:t xml:space="preserve">Quelles sont les aides de l’agence de l’eau ? </w:t>
      </w:r>
    </w:p>
    <w:p w:rsidR="00180D0B" w:rsidRPr="00180D0B" w:rsidRDefault="00912EA1" w:rsidP="00180D0B">
      <w:pPr>
        <w:pStyle w:val="Paragraphedeliste"/>
        <w:numPr>
          <w:ilvl w:val="0"/>
          <w:numId w:val="2"/>
        </w:numPr>
      </w:pPr>
      <w:r>
        <w:rPr>
          <w:b/>
        </w:rPr>
        <w:t>7</w:t>
      </w:r>
      <w:r w:rsidR="000F505A">
        <w:rPr>
          <w:b/>
        </w:rPr>
        <w:t xml:space="preserve">0 </w:t>
      </w:r>
      <w:r w:rsidR="00180D0B" w:rsidRPr="00180D0B">
        <w:rPr>
          <w:b/>
        </w:rPr>
        <w:t>%</w:t>
      </w:r>
      <w:r w:rsidR="00180D0B" w:rsidRPr="00180D0B">
        <w:t xml:space="preserve"> pour les dossiers </w:t>
      </w:r>
      <w:r>
        <w:t xml:space="preserve">complets reçus avant la date de clôture de l’AAP. </w:t>
      </w:r>
    </w:p>
    <w:p w:rsidR="00180D0B" w:rsidRPr="00C644FD" w:rsidRDefault="00180D0B" w:rsidP="003D1B59">
      <w:r w:rsidRPr="00C644FD">
        <w:t xml:space="preserve">L’agence consacre une enveloppe financière de </w:t>
      </w:r>
      <w:r w:rsidR="003F79AE">
        <w:t>4</w:t>
      </w:r>
      <w:r w:rsidRPr="00C644FD">
        <w:t xml:space="preserve"> millions d’euros pour cet appel à projets. </w:t>
      </w:r>
    </w:p>
    <w:p w:rsidR="00A97B0B" w:rsidRPr="00C644FD" w:rsidRDefault="00A97B0B" w:rsidP="003D1B59"/>
    <w:p w:rsidR="00A97B0B" w:rsidRPr="00C644FD" w:rsidRDefault="00A97B0B" w:rsidP="003D1B59">
      <w:pPr>
        <w:rPr>
          <w:b/>
          <w:u w:val="single"/>
        </w:rPr>
      </w:pPr>
      <w:r w:rsidRPr="00C644FD">
        <w:rPr>
          <w:b/>
          <w:u w:val="single"/>
        </w:rPr>
        <w:t xml:space="preserve">Calendrier : </w:t>
      </w:r>
    </w:p>
    <w:p w:rsidR="003F79AE" w:rsidRDefault="003F79AE" w:rsidP="00CB1BE6">
      <w:pPr>
        <w:pStyle w:val="Default"/>
        <w:numPr>
          <w:ilvl w:val="0"/>
          <w:numId w:val="2"/>
        </w:numPr>
        <w:rPr>
          <w:rFonts w:asciiTheme="minorHAnsi" w:hAnsiTheme="minorHAnsi"/>
          <w:sz w:val="22"/>
          <w:szCs w:val="22"/>
        </w:rPr>
      </w:pPr>
      <w:r>
        <w:rPr>
          <w:rFonts w:asciiTheme="minorHAnsi" w:hAnsiTheme="minorHAnsi"/>
          <w:sz w:val="22"/>
          <w:szCs w:val="22"/>
        </w:rPr>
        <w:t>Réception des dossiers à l’agence avant le 15 septembre 2018</w:t>
      </w:r>
    </w:p>
    <w:p w:rsidR="003606D9" w:rsidRPr="00C644FD" w:rsidRDefault="003606D9" w:rsidP="00CB1BE6">
      <w:pPr>
        <w:pStyle w:val="Default"/>
        <w:numPr>
          <w:ilvl w:val="0"/>
          <w:numId w:val="2"/>
        </w:numPr>
        <w:rPr>
          <w:rFonts w:asciiTheme="minorHAnsi" w:hAnsiTheme="minorHAnsi"/>
          <w:sz w:val="22"/>
          <w:szCs w:val="22"/>
        </w:rPr>
      </w:pPr>
      <w:r w:rsidRPr="00C644FD">
        <w:rPr>
          <w:rFonts w:asciiTheme="minorHAnsi" w:hAnsiTheme="minorHAnsi"/>
          <w:sz w:val="22"/>
          <w:szCs w:val="22"/>
        </w:rPr>
        <w:t>Du 2</w:t>
      </w:r>
      <w:r w:rsidR="003F79AE">
        <w:rPr>
          <w:rFonts w:asciiTheme="minorHAnsi" w:hAnsiTheme="minorHAnsi"/>
          <w:sz w:val="22"/>
          <w:szCs w:val="22"/>
        </w:rPr>
        <w:t>6</w:t>
      </w:r>
      <w:r w:rsidRPr="00C644FD">
        <w:rPr>
          <w:rFonts w:asciiTheme="minorHAnsi" w:hAnsiTheme="minorHAnsi"/>
          <w:sz w:val="22"/>
          <w:szCs w:val="22"/>
        </w:rPr>
        <w:t xml:space="preserve"> </w:t>
      </w:r>
      <w:r w:rsidR="003F79AE">
        <w:rPr>
          <w:rFonts w:asciiTheme="minorHAnsi" w:hAnsiTheme="minorHAnsi"/>
          <w:sz w:val="22"/>
          <w:szCs w:val="22"/>
        </w:rPr>
        <w:t>octobre 2017 au 31 décembre</w:t>
      </w:r>
      <w:r w:rsidRPr="00C644FD">
        <w:rPr>
          <w:rFonts w:asciiTheme="minorHAnsi" w:hAnsiTheme="minorHAnsi"/>
          <w:sz w:val="22"/>
          <w:szCs w:val="22"/>
        </w:rPr>
        <w:t xml:space="preserve"> 2018 : </w:t>
      </w:r>
      <w:r w:rsidRPr="003F79AE">
        <w:rPr>
          <w:rFonts w:asciiTheme="minorHAnsi" w:hAnsiTheme="minorHAnsi"/>
          <w:b/>
          <w:sz w:val="22"/>
          <w:szCs w:val="22"/>
        </w:rPr>
        <w:t>a</w:t>
      </w:r>
      <w:r w:rsidR="00A97B0B" w:rsidRPr="003F79AE">
        <w:rPr>
          <w:rFonts w:asciiTheme="minorHAnsi" w:hAnsiTheme="minorHAnsi"/>
          <w:b/>
          <w:sz w:val="22"/>
          <w:szCs w:val="22"/>
        </w:rPr>
        <w:t xml:space="preserve">ttribution des aides </w:t>
      </w:r>
      <w:r w:rsidRPr="003F79AE">
        <w:rPr>
          <w:rFonts w:asciiTheme="minorHAnsi" w:hAnsiTheme="minorHAnsi"/>
          <w:b/>
          <w:sz w:val="22"/>
          <w:szCs w:val="22"/>
        </w:rPr>
        <w:t>dans l’ordre d’arrivée des dossiers</w:t>
      </w:r>
      <w:r w:rsidRPr="00C644FD">
        <w:rPr>
          <w:rFonts w:asciiTheme="minorHAnsi" w:hAnsiTheme="minorHAnsi"/>
          <w:sz w:val="22"/>
          <w:szCs w:val="22"/>
        </w:rPr>
        <w:t xml:space="preserve">. </w:t>
      </w:r>
    </w:p>
    <w:p w:rsidR="003606D9" w:rsidRPr="00912EA1" w:rsidRDefault="003606D9" w:rsidP="003606D9">
      <w:pPr>
        <w:pStyle w:val="Default"/>
        <w:rPr>
          <w:rFonts w:asciiTheme="minorHAnsi" w:hAnsiTheme="minorHAnsi"/>
          <w:sz w:val="22"/>
          <w:szCs w:val="22"/>
        </w:rPr>
      </w:pPr>
    </w:p>
    <w:p w:rsidR="00CB150B" w:rsidRPr="00912EA1" w:rsidRDefault="003606D9" w:rsidP="003606D9">
      <w:pPr>
        <w:pStyle w:val="Default"/>
        <w:rPr>
          <w:rFonts w:asciiTheme="minorHAnsi" w:hAnsiTheme="minorHAnsi"/>
          <w:sz w:val="22"/>
          <w:szCs w:val="22"/>
        </w:rPr>
      </w:pPr>
      <w:r w:rsidRPr="00912EA1">
        <w:rPr>
          <w:rFonts w:asciiTheme="minorHAnsi" w:hAnsiTheme="minorHAnsi"/>
          <w:sz w:val="22"/>
          <w:szCs w:val="22"/>
        </w:rPr>
        <w:t xml:space="preserve">Attention, </w:t>
      </w:r>
      <w:r w:rsidRPr="00912EA1">
        <w:rPr>
          <w:rStyle w:val="A8"/>
          <w:rFonts w:asciiTheme="minorHAnsi" w:hAnsiTheme="minorHAnsi"/>
          <w:sz w:val="22"/>
          <w:szCs w:val="22"/>
        </w:rPr>
        <w:t xml:space="preserve"> </w:t>
      </w:r>
      <w:r w:rsidRPr="00912EA1">
        <w:rPr>
          <w:rFonts w:asciiTheme="minorHAnsi" w:hAnsiTheme="minorHAnsi"/>
          <w:sz w:val="22"/>
          <w:szCs w:val="22"/>
        </w:rPr>
        <w:t xml:space="preserve">les </w:t>
      </w:r>
      <w:r w:rsidR="00CB1BE6" w:rsidRPr="00912EA1">
        <w:rPr>
          <w:rFonts w:asciiTheme="minorHAnsi" w:hAnsiTheme="minorHAnsi"/>
          <w:sz w:val="22"/>
          <w:szCs w:val="22"/>
        </w:rPr>
        <w:t>dossiers reçus</w:t>
      </w:r>
      <w:r w:rsidRPr="00912EA1">
        <w:rPr>
          <w:rFonts w:asciiTheme="minorHAnsi" w:hAnsiTheme="minorHAnsi"/>
          <w:sz w:val="22"/>
          <w:szCs w:val="22"/>
        </w:rPr>
        <w:t xml:space="preserve"> </w:t>
      </w:r>
      <w:r w:rsidR="004F5EB3" w:rsidRPr="00912EA1">
        <w:rPr>
          <w:rFonts w:asciiTheme="minorHAnsi" w:hAnsiTheme="minorHAnsi"/>
          <w:sz w:val="22"/>
          <w:szCs w:val="22"/>
        </w:rPr>
        <w:t xml:space="preserve">les premiers </w:t>
      </w:r>
      <w:r w:rsidRPr="00912EA1">
        <w:rPr>
          <w:rFonts w:asciiTheme="minorHAnsi" w:hAnsiTheme="minorHAnsi"/>
          <w:sz w:val="22"/>
          <w:szCs w:val="22"/>
        </w:rPr>
        <w:t xml:space="preserve">seront </w:t>
      </w:r>
      <w:r w:rsidR="004F5EB3" w:rsidRPr="00912EA1">
        <w:rPr>
          <w:rFonts w:asciiTheme="minorHAnsi" w:hAnsiTheme="minorHAnsi"/>
          <w:sz w:val="22"/>
          <w:szCs w:val="22"/>
        </w:rPr>
        <w:t>traités</w:t>
      </w:r>
      <w:r w:rsidR="00CB1BE6" w:rsidRPr="00912EA1">
        <w:rPr>
          <w:rFonts w:asciiTheme="minorHAnsi" w:hAnsiTheme="minorHAnsi"/>
          <w:sz w:val="22"/>
          <w:szCs w:val="22"/>
        </w:rPr>
        <w:t> </w:t>
      </w:r>
      <w:r w:rsidR="004F5EB3" w:rsidRPr="00912EA1">
        <w:rPr>
          <w:rFonts w:asciiTheme="minorHAnsi" w:hAnsiTheme="minorHAnsi"/>
          <w:sz w:val="22"/>
          <w:szCs w:val="22"/>
        </w:rPr>
        <w:t>selon le principe « </w:t>
      </w:r>
      <w:r w:rsidR="00FB1197" w:rsidRPr="00912EA1">
        <w:rPr>
          <w:rFonts w:asciiTheme="minorHAnsi" w:hAnsiTheme="minorHAnsi"/>
          <w:sz w:val="22"/>
          <w:szCs w:val="22"/>
        </w:rPr>
        <w:t>premier arrivé, premier servi ».</w:t>
      </w:r>
      <w:r w:rsidR="00CB1BE6" w:rsidRPr="00912EA1">
        <w:rPr>
          <w:rFonts w:asciiTheme="minorHAnsi" w:hAnsiTheme="minorHAnsi"/>
          <w:sz w:val="22"/>
          <w:szCs w:val="22"/>
        </w:rPr>
        <w:t xml:space="preserve"> </w:t>
      </w:r>
    </w:p>
    <w:p w:rsidR="00CB150B" w:rsidRPr="00912EA1" w:rsidRDefault="00CB150B" w:rsidP="00CB150B"/>
    <w:p w:rsidR="00CB150B" w:rsidRPr="00C644FD" w:rsidRDefault="00CB150B" w:rsidP="00CB150B">
      <w:pPr>
        <w:rPr>
          <w:highlight w:val="yellow"/>
        </w:rPr>
      </w:pPr>
      <w:r w:rsidRPr="00C644FD">
        <w:rPr>
          <w:highlight w:val="yellow"/>
        </w:rPr>
        <w:t xml:space="preserve">Contact : </w:t>
      </w:r>
      <w:hyperlink r:id="rId6" w:history="1">
        <w:r w:rsidR="003F79AE" w:rsidRPr="00C55138">
          <w:rPr>
            <w:rStyle w:val="Lienhypertexte"/>
            <w:highlight w:val="yellow"/>
          </w:rPr>
          <w:t>contact.rsde@eaurmc.fr</w:t>
        </w:r>
      </w:hyperlink>
      <w:r w:rsidRPr="00C644FD">
        <w:rPr>
          <w:highlight w:val="yellow"/>
        </w:rPr>
        <w:t xml:space="preserve"> </w:t>
      </w:r>
    </w:p>
    <w:p w:rsidR="00CB150B" w:rsidRPr="00C644FD" w:rsidRDefault="00CB150B" w:rsidP="00CB150B"/>
    <w:p w:rsidR="00CB150B" w:rsidRPr="00C644FD" w:rsidRDefault="00CB150B" w:rsidP="003606D9">
      <w:pPr>
        <w:pStyle w:val="Default"/>
        <w:rPr>
          <w:rFonts w:asciiTheme="minorHAnsi" w:hAnsiTheme="minorHAnsi"/>
        </w:rPr>
      </w:pPr>
    </w:p>
    <w:sectPr w:rsidR="00CB150B" w:rsidRPr="00C64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6600"/>
    <w:multiLevelType w:val="hybridMultilevel"/>
    <w:tmpl w:val="B1C43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D17695"/>
    <w:multiLevelType w:val="hybridMultilevel"/>
    <w:tmpl w:val="58808316"/>
    <w:lvl w:ilvl="0" w:tplc="C3E823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3C25A8"/>
    <w:multiLevelType w:val="hybridMultilevel"/>
    <w:tmpl w:val="8F88DFCA"/>
    <w:lvl w:ilvl="0" w:tplc="C3E823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851C53"/>
    <w:multiLevelType w:val="hybridMultilevel"/>
    <w:tmpl w:val="CB68F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9F0354"/>
    <w:multiLevelType w:val="hybridMultilevel"/>
    <w:tmpl w:val="D18A5BCE"/>
    <w:lvl w:ilvl="0" w:tplc="F388328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9D80246"/>
    <w:multiLevelType w:val="hybridMultilevel"/>
    <w:tmpl w:val="DB000C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CDE087E"/>
    <w:multiLevelType w:val="hybridMultilevel"/>
    <w:tmpl w:val="5764EF50"/>
    <w:lvl w:ilvl="0" w:tplc="DC3CA2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C36DDE"/>
    <w:multiLevelType w:val="hybridMultilevel"/>
    <w:tmpl w:val="CA8836F6"/>
    <w:lvl w:ilvl="0" w:tplc="8930825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12"/>
    <w:rsid w:val="00011EC3"/>
    <w:rsid w:val="00012B01"/>
    <w:rsid w:val="000311D5"/>
    <w:rsid w:val="00042235"/>
    <w:rsid w:val="00044488"/>
    <w:rsid w:val="0004467F"/>
    <w:rsid w:val="00044CD4"/>
    <w:rsid w:val="00050E65"/>
    <w:rsid w:val="00062456"/>
    <w:rsid w:val="00063AB2"/>
    <w:rsid w:val="00066699"/>
    <w:rsid w:val="00080D82"/>
    <w:rsid w:val="000A2B5F"/>
    <w:rsid w:val="000A484B"/>
    <w:rsid w:val="000B775A"/>
    <w:rsid w:val="000B7BD3"/>
    <w:rsid w:val="000E58D5"/>
    <w:rsid w:val="000F505A"/>
    <w:rsid w:val="001039C8"/>
    <w:rsid w:val="001122C8"/>
    <w:rsid w:val="00120749"/>
    <w:rsid w:val="0012532F"/>
    <w:rsid w:val="0014354C"/>
    <w:rsid w:val="00173857"/>
    <w:rsid w:val="001761D9"/>
    <w:rsid w:val="00180D0B"/>
    <w:rsid w:val="00181C7A"/>
    <w:rsid w:val="00183858"/>
    <w:rsid w:val="001850BB"/>
    <w:rsid w:val="001A422B"/>
    <w:rsid w:val="001B2D12"/>
    <w:rsid w:val="001B62E0"/>
    <w:rsid w:val="001D56B5"/>
    <w:rsid w:val="001E7719"/>
    <w:rsid w:val="001F0D7B"/>
    <w:rsid w:val="001F31BA"/>
    <w:rsid w:val="00201FE1"/>
    <w:rsid w:val="0021064C"/>
    <w:rsid w:val="002115BB"/>
    <w:rsid w:val="002217DD"/>
    <w:rsid w:val="00241077"/>
    <w:rsid w:val="002571C4"/>
    <w:rsid w:val="00266B00"/>
    <w:rsid w:val="00270151"/>
    <w:rsid w:val="00276154"/>
    <w:rsid w:val="002807EA"/>
    <w:rsid w:val="002927A7"/>
    <w:rsid w:val="0029384B"/>
    <w:rsid w:val="00296669"/>
    <w:rsid w:val="002A5342"/>
    <w:rsid w:val="002B5331"/>
    <w:rsid w:val="002C42FE"/>
    <w:rsid w:val="002E17EC"/>
    <w:rsid w:val="002F1A4B"/>
    <w:rsid w:val="002F44C2"/>
    <w:rsid w:val="002F7A70"/>
    <w:rsid w:val="003060E4"/>
    <w:rsid w:val="003107D5"/>
    <w:rsid w:val="00311809"/>
    <w:rsid w:val="003242BA"/>
    <w:rsid w:val="00354B74"/>
    <w:rsid w:val="003606D9"/>
    <w:rsid w:val="00364062"/>
    <w:rsid w:val="00365D21"/>
    <w:rsid w:val="003709EA"/>
    <w:rsid w:val="00380012"/>
    <w:rsid w:val="00390E23"/>
    <w:rsid w:val="003A1FC7"/>
    <w:rsid w:val="003B0985"/>
    <w:rsid w:val="003B7B96"/>
    <w:rsid w:val="003D1B59"/>
    <w:rsid w:val="003D4800"/>
    <w:rsid w:val="003D675C"/>
    <w:rsid w:val="003D7270"/>
    <w:rsid w:val="003E2B68"/>
    <w:rsid w:val="003E33BF"/>
    <w:rsid w:val="003E6EDB"/>
    <w:rsid w:val="003E70A0"/>
    <w:rsid w:val="003F1786"/>
    <w:rsid w:val="003F1C8D"/>
    <w:rsid w:val="003F79AE"/>
    <w:rsid w:val="00423D1F"/>
    <w:rsid w:val="00432049"/>
    <w:rsid w:val="00432DCA"/>
    <w:rsid w:val="00442751"/>
    <w:rsid w:val="00442802"/>
    <w:rsid w:val="004522A5"/>
    <w:rsid w:val="00455DBD"/>
    <w:rsid w:val="0045781D"/>
    <w:rsid w:val="00465765"/>
    <w:rsid w:val="0046678D"/>
    <w:rsid w:val="00494DC5"/>
    <w:rsid w:val="004965C1"/>
    <w:rsid w:val="0049760D"/>
    <w:rsid w:val="0049765E"/>
    <w:rsid w:val="004A635F"/>
    <w:rsid w:val="004C0578"/>
    <w:rsid w:val="004C167A"/>
    <w:rsid w:val="004C530A"/>
    <w:rsid w:val="004D759B"/>
    <w:rsid w:val="004F5EB3"/>
    <w:rsid w:val="00506F25"/>
    <w:rsid w:val="00507065"/>
    <w:rsid w:val="00507693"/>
    <w:rsid w:val="005142F6"/>
    <w:rsid w:val="00535F70"/>
    <w:rsid w:val="00544387"/>
    <w:rsid w:val="00555A97"/>
    <w:rsid w:val="00560C84"/>
    <w:rsid w:val="00573594"/>
    <w:rsid w:val="00576855"/>
    <w:rsid w:val="00586D50"/>
    <w:rsid w:val="005912F7"/>
    <w:rsid w:val="005918A4"/>
    <w:rsid w:val="005919A1"/>
    <w:rsid w:val="005B7014"/>
    <w:rsid w:val="005C1170"/>
    <w:rsid w:val="005C2699"/>
    <w:rsid w:val="005D6079"/>
    <w:rsid w:val="005D6599"/>
    <w:rsid w:val="005F083C"/>
    <w:rsid w:val="005F0BA8"/>
    <w:rsid w:val="00620869"/>
    <w:rsid w:val="00620EB9"/>
    <w:rsid w:val="00621343"/>
    <w:rsid w:val="00622EBA"/>
    <w:rsid w:val="0064765A"/>
    <w:rsid w:val="006565F3"/>
    <w:rsid w:val="006573DA"/>
    <w:rsid w:val="006623F3"/>
    <w:rsid w:val="006630A7"/>
    <w:rsid w:val="00674580"/>
    <w:rsid w:val="00692499"/>
    <w:rsid w:val="006A0415"/>
    <w:rsid w:val="006A1E58"/>
    <w:rsid w:val="006A6A72"/>
    <w:rsid w:val="006B089D"/>
    <w:rsid w:val="006B115E"/>
    <w:rsid w:val="007069E4"/>
    <w:rsid w:val="007101DB"/>
    <w:rsid w:val="00715D3C"/>
    <w:rsid w:val="0075142C"/>
    <w:rsid w:val="00751C52"/>
    <w:rsid w:val="007572F8"/>
    <w:rsid w:val="007723CA"/>
    <w:rsid w:val="00773EED"/>
    <w:rsid w:val="00781E0F"/>
    <w:rsid w:val="00782013"/>
    <w:rsid w:val="007975DD"/>
    <w:rsid w:val="007C5650"/>
    <w:rsid w:val="007C56B3"/>
    <w:rsid w:val="007C6307"/>
    <w:rsid w:val="007E250F"/>
    <w:rsid w:val="007F00C2"/>
    <w:rsid w:val="007F082C"/>
    <w:rsid w:val="00801C7E"/>
    <w:rsid w:val="008056E0"/>
    <w:rsid w:val="00814F07"/>
    <w:rsid w:val="00815FA2"/>
    <w:rsid w:val="008223C8"/>
    <w:rsid w:val="00827134"/>
    <w:rsid w:val="008314AB"/>
    <w:rsid w:val="008352AE"/>
    <w:rsid w:val="0087450E"/>
    <w:rsid w:val="00877F4A"/>
    <w:rsid w:val="00887BD9"/>
    <w:rsid w:val="008954DB"/>
    <w:rsid w:val="008A5AD2"/>
    <w:rsid w:val="008A621C"/>
    <w:rsid w:val="008B5DCD"/>
    <w:rsid w:val="008D4820"/>
    <w:rsid w:val="008E69E5"/>
    <w:rsid w:val="008E6F15"/>
    <w:rsid w:val="008F196D"/>
    <w:rsid w:val="00900AF8"/>
    <w:rsid w:val="00901830"/>
    <w:rsid w:val="00901D1B"/>
    <w:rsid w:val="0090281E"/>
    <w:rsid w:val="00912EA1"/>
    <w:rsid w:val="00916AFD"/>
    <w:rsid w:val="0092258E"/>
    <w:rsid w:val="0094708A"/>
    <w:rsid w:val="00965B86"/>
    <w:rsid w:val="00991D6A"/>
    <w:rsid w:val="009A504F"/>
    <w:rsid w:val="009A5BE7"/>
    <w:rsid w:val="009B6AA4"/>
    <w:rsid w:val="009D6D25"/>
    <w:rsid w:val="009F0C84"/>
    <w:rsid w:val="009F0CCA"/>
    <w:rsid w:val="009F1346"/>
    <w:rsid w:val="00A0714B"/>
    <w:rsid w:val="00A206E9"/>
    <w:rsid w:val="00A430BF"/>
    <w:rsid w:val="00A4435A"/>
    <w:rsid w:val="00A4612A"/>
    <w:rsid w:val="00A4779E"/>
    <w:rsid w:val="00A5215B"/>
    <w:rsid w:val="00A52A98"/>
    <w:rsid w:val="00A540CD"/>
    <w:rsid w:val="00A7025C"/>
    <w:rsid w:val="00A7082E"/>
    <w:rsid w:val="00A719EC"/>
    <w:rsid w:val="00A752DE"/>
    <w:rsid w:val="00A823C7"/>
    <w:rsid w:val="00A8582D"/>
    <w:rsid w:val="00A902C0"/>
    <w:rsid w:val="00A9166B"/>
    <w:rsid w:val="00A97B0B"/>
    <w:rsid w:val="00AA3247"/>
    <w:rsid w:val="00AA3A15"/>
    <w:rsid w:val="00AA695F"/>
    <w:rsid w:val="00AC69DB"/>
    <w:rsid w:val="00B11815"/>
    <w:rsid w:val="00B1693D"/>
    <w:rsid w:val="00B2681A"/>
    <w:rsid w:val="00B30B58"/>
    <w:rsid w:val="00B40811"/>
    <w:rsid w:val="00B52B8B"/>
    <w:rsid w:val="00B625AA"/>
    <w:rsid w:val="00B668B3"/>
    <w:rsid w:val="00B67BD6"/>
    <w:rsid w:val="00B70DE1"/>
    <w:rsid w:val="00B903E5"/>
    <w:rsid w:val="00BB1A11"/>
    <w:rsid w:val="00BB4877"/>
    <w:rsid w:val="00BC3687"/>
    <w:rsid w:val="00BD2A25"/>
    <w:rsid w:val="00BF1C0B"/>
    <w:rsid w:val="00BF1ED7"/>
    <w:rsid w:val="00C040FE"/>
    <w:rsid w:val="00C0752A"/>
    <w:rsid w:val="00C10FB9"/>
    <w:rsid w:val="00C173F9"/>
    <w:rsid w:val="00C2724B"/>
    <w:rsid w:val="00C42230"/>
    <w:rsid w:val="00C44C3F"/>
    <w:rsid w:val="00C46EBE"/>
    <w:rsid w:val="00C47A0A"/>
    <w:rsid w:val="00C52CF6"/>
    <w:rsid w:val="00C61B6B"/>
    <w:rsid w:val="00C644FD"/>
    <w:rsid w:val="00C64962"/>
    <w:rsid w:val="00C75C58"/>
    <w:rsid w:val="00C873B8"/>
    <w:rsid w:val="00CB150B"/>
    <w:rsid w:val="00CB1BE6"/>
    <w:rsid w:val="00CD25E6"/>
    <w:rsid w:val="00CD6A19"/>
    <w:rsid w:val="00CE280C"/>
    <w:rsid w:val="00CE6D3C"/>
    <w:rsid w:val="00CF1A0D"/>
    <w:rsid w:val="00CF7914"/>
    <w:rsid w:val="00D055F9"/>
    <w:rsid w:val="00D1527D"/>
    <w:rsid w:val="00D2266F"/>
    <w:rsid w:val="00D27F57"/>
    <w:rsid w:val="00D31C3F"/>
    <w:rsid w:val="00D34880"/>
    <w:rsid w:val="00D40034"/>
    <w:rsid w:val="00D43F6C"/>
    <w:rsid w:val="00D43F95"/>
    <w:rsid w:val="00D45628"/>
    <w:rsid w:val="00D55133"/>
    <w:rsid w:val="00D63738"/>
    <w:rsid w:val="00D63D4B"/>
    <w:rsid w:val="00D64BEA"/>
    <w:rsid w:val="00D64D41"/>
    <w:rsid w:val="00D819D4"/>
    <w:rsid w:val="00D82078"/>
    <w:rsid w:val="00D9538F"/>
    <w:rsid w:val="00D963EB"/>
    <w:rsid w:val="00D965B5"/>
    <w:rsid w:val="00DD1E53"/>
    <w:rsid w:val="00DE165C"/>
    <w:rsid w:val="00DF51A5"/>
    <w:rsid w:val="00E116BD"/>
    <w:rsid w:val="00E175DD"/>
    <w:rsid w:val="00E37F26"/>
    <w:rsid w:val="00E51E87"/>
    <w:rsid w:val="00E539E2"/>
    <w:rsid w:val="00E6400B"/>
    <w:rsid w:val="00E65EBE"/>
    <w:rsid w:val="00E71676"/>
    <w:rsid w:val="00E72E48"/>
    <w:rsid w:val="00E82359"/>
    <w:rsid w:val="00E86DF9"/>
    <w:rsid w:val="00E86FA0"/>
    <w:rsid w:val="00E97375"/>
    <w:rsid w:val="00EA1572"/>
    <w:rsid w:val="00EA7D4F"/>
    <w:rsid w:val="00EB0272"/>
    <w:rsid w:val="00EC146B"/>
    <w:rsid w:val="00ED20E7"/>
    <w:rsid w:val="00EF7FC3"/>
    <w:rsid w:val="00F0127D"/>
    <w:rsid w:val="00F109E5"/>
    <w:rsid w:val="00F15BF2"/>
    <w:rsid w:val="00F2437A"/>
    <w:rsid w:val="00F36267"/>
    <w:rsid w:val="00F40DE2"/>
    <w:rsid w:val="00F40EDC"/>
    <w:rsid w:val="00F42C48"/>
    <w:rsid w:val="00F50E7A"/>
    <w:rsid w:val="00F625C9"/>
    <w:rsid w:val="00F84191"/>
    <w:rsid w:val="00F85727"/>
    <w:rsid w:val="00F90695"/>
    <w:rsid w:val="00F94EA6"/>
    <w:rsid w:val="00FB1197"/>
    <w:rsid w:val="00FB2A8B"/>
    <w:rsid w:val="00FC1B93"/>
    <w:rsid w:val="00FC5093"/>
    <w:rsid w:val="00FC6F85"/>
    <w:rsid w:val="00FE58ED"/>
    <w:rsid w:val="00FF66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59"/>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165C"/>
    <w:pPr>
      <w:ind w:left="720"/>
      <w:contextualSpacing/>
    </w:pPr>
  </w:style>
  <w:style w:type="paragraph" w:customStyle="1" w:styleId="CharCharCharCharCharCarCarCarCarCarCarCarCarCarCar">
    <w:name w:val="Char Char Char Char Char Car Car Car Car Car Car Car Car Car Car"/>
    <w:basedOn w:val="Normal"/>
    <w:rsid w:val="00180D0B"/>
    <w:pPr>
      <w:spacing w:after="160" w:line="240" w:lineRule="exact"/>
      <w:jc w:val="left"/>
    </w:pPr>
    <w:rPr>
      <w:rFonts w:ascii="Verdana" w:eastAsia="Times New Roman" w:hAnsi="Verdana" w:cs="Times New Roman"/>
      <w:sz w:val="20"/>
      <w:szCs w:val="20"/>
      <w:lang w:val="en-US"/>
    </w:rPr>
  </w:style>
  <w:style w:type="character" w:styleId="Marquedecommentaire">
    <w:name w:val="annotation reference"/>
    <w:basedOn w:val="Policepardfaut"/>
    <w:uiPriority w:val="99"/>
    <w:semiHidden/>
    <w:unhideWhenUsed/>
    <w:rsid w:val="00781E0F"/>
    <w:rPr>
      <w:sz w:val="16"/>
      <w:szCs w:val="16"/>
    </w:rPr>
  </w:style>
  <w:style w:type="paragraph" w:styleId="Commentaire">
    <w:name w:val="annotation text"/>
    <w:basedOn w:val="Normal"/>
    <w:link w:val="CommentaireCar"/>
    <w:uiPriority w:val="99"/>
    <w:semiHidden/>
    <w:unhideWhenUsed/>
    <w:rsid w:val="00781E0F"/>
    <w:rPr>
      <w:sz w:val="20"/>
      <w:szCs w:val="20"/>
    </w:rPr>
  </w:style>
  <w:style w:type="character" w:customStyle="1" w:styleId="CommentaireCar">
    <w:name w:val="Commentaire Car"/>
    <w:basedOn w:val="Policepardfaut"/>
    <w:link w:val="Commentaire"/>
    <w:uiPriority w:val="99"/>
    <w:semiHidden/>
    <w:rsid w:val="00781E0F"/>
    <w:rPr>
      <w:sz w:val="20"/>
      <w:szCs w:val="20"/>
    </w:rPr>
  </w:style>
  <w:style w:type="paragraph" w:styleId="Objetducommentaire">
    <w:name w:val="annotation subject"/>
    <w:basedOn w:val="Commentaire"/>
    <w:next w:val="Commentaire"/>
    <w:link w:val="ObjetducommentaireCar"/>
    <w:uiPriority w:val="99"/>
    <w:semiHidden/>
    <w:unhideWhenUsed/>
    <w:rsid w:val="00781E0F"/>
    <w:rPr>
      <w:b/>
      <w:bCs/>
    </w:rPr>
  </w:style>
  <w:style w:type="character" w:customStyle="1" w:styleId="ObjetducommentaireCar">
    <w:name w:val="Objet du commentaire Car"/>
    <w:basedOn w:val="CommentaireCar"/>
    <w:link w:val="Objetducommentaire"/>
    <w:uiPriority w:val="99"/>
    <w:semiHidden/>
    <w:rsid w:val="00781E0F"/>
    <w:rPr>
      <w:b/>
      <w:bCs/>
      <w:sz w:val="20"/>
      <w:szCs w:val="20"/>
    </w:rPr>
  </w:style>
  <w:style w:type="paragraph" w:styleId="Textedebulles">
    <w:name w:val="Balloon Text"/>
    <w:basedOn w:val="Normal"/>
    <w:link w:val="TextedebullesCar"/>
    <w:uiPriority w:val="99"/>
    <w:semiHidden/>
    <w:unhideWhenUsed/>
    <w:rsid w:val="00781E0F"/>
    <w:rPr>
      <w:rFonts w:ascii="Tahoma" w:hAnsi="Tahoma" w:cs="Tahoma"/>
      <w:sz w:val="16"/>
      <w:szCs w:val="16"/>
    </w:rPr>
  </w:style>
  <w:style w:type="character" w:customStyle="1" w:styleId="TextedebullesCar">
    <w:name w:val="Texte de bulles Car"/>
    <w:basedOn w:val="Policepardfaut"/>
    <w:link w:val="Textedebulles"/>
    <w:uiPriority w:val="99"/>
    <w:semiHidden/>
    <w:rsid w:val="00781E0F"/>
    <w:rPr>
      <w:rFonts w:ascii="Tahoma" w:hAnsi="Tahoma" w:cs="Tahoma"/>
      <w:sz w:val="16"/>
      <w:szCs w:val="16"/>
    </w:rPr>
  </w:style>
  <w:style w:type="paragraph" w:customStyle="1" w:styleId="Default">
    <w:name w:val="Default"/>
    <w:rsid w:val="003606D9"/>
    <w:pPr>
      <w:autoSpaceDE w:val="0"/>
      <w:autoSpaceDN w:val="0"/>
      <w:adjustRightInd w:val="0"/>
      <w:spacing w:after="0" w:line="240" w:lineRule="auto"/>
    </w:pPr>
    <w:rPr>
      <w:rFonts w:ascii="Avenir" w:hAnsi="Avenir" w:cs="Avenir"/>
      <w:color w:val="000000"/>
      <w:sz w:val="24"/>
      <w:szCs w:val="24"/>
    </w:rPr>
  </w:style>
  <w:style w:type="character" w:customStyle="1" w:styleId="A8">
    <w:name w:val="A8"/>
    <w:uiPriority w:val="99"/>
    <w:rsid w:val="003606D9"/>
    <w:rPr>
      <w:rFonts w:cs="Avenir"/>
      <w:i/>
      <w:iCs/>
      <w:color w:val="221E1F"/>
      <w:sz w:val="19"/>
      <w:szCs w:val="19"/>
    </w:rPr>
  </w:style>
  <w:style w:type="character" w:styleId="Lienhypertexte">
    <w:name w:val="Hyperlink"/>
    <w:basedOn w:val="Policepardfaut"/>
    <w:uiPriority w:val="99"/>
    <w:unhideWhenUsed/>
    <w:rsid w:val="00CB150B"/>
    <w:rPr>
      <w:color w:val="0000FF" w:themeColor="hyperlink"/>
      <w:u w:val="single"/>
    </w:rPr>
  </w:style>
  <w:style w:type="paragraph" w:customStyle="1" w:styleId="CharCharCharCharCharCarCarCarCarCarCarCarCarCarCar0">
    <w:name w:val=" Char Char Char Char Char Car Car Car Car Car Car Car Car Car Car"/>
    <w:basedOn w:val="Normal"/>
    <w:rsid w:val="00D40034"/>
    <w:pPr>
      <w:spacing w:after="160" w:line="240" w:lineRule="exact"/>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59"/>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165C"/>
    <w:pPr>
      <w:ind w:left="720"/>
      <w:contextualSpacing/>
    </w:pPr>
  </w:style>
  <w:style w:type="paragraph" w:customStyle="1" w:styleId="CharCharCharCharCharCarCarCarCarCarCarCarCarCarCar">
    <w:name w:val="Char Char Char Char Char Car Car Car Car Car Car Car Car Car Car"/>
    <w:basedOn w:val="Normal"/>
    <w:rsid w:val="00180D0B"/>
    <w:pPr>
      <w:spacing w:after="160" w:line="240" w:lineRule="exact"/>
      <w:jc w:val="left"/>
    </w:pPr>
    <w:rPr>
      <w:rFonts w:ascii="Verdana" w:eastAsia="Times New Roman" w:hAnsi="Verdana" w:cs="Times New Roman"/>
      <w:sz w:val="20"/>
      <w:szCs w:val="20"/>
      <w:lang w:val="en-US"/>
    </w:rPr>
  </w:style>
  <w:style w:type="character" w:styleId="Marquedecommentaire">
    <w:name w:val="annotation reference"/>
    <w:basedOn w:val="Policepardfaut"/>
    <w:uiPriority w:val="99"/>
    <w:semiHidden/>
    <w:unhideWhenUsed/>
    <w:rsid w:val="00781E0F"/>
    <w:rPr>
      <w:sz w:val="16"/>
      <w:szCs w:val="16"/>
    </w:rPr>
  </w:style>
  <w:style w:type="paragraph" w:styleId="Commentaire">
    <w:name w:val="annotation text"/>
    <w:basedOn w:val="Normal"/>
    <w:link w:val="CommentaireCar"/>
    <w:uiPriority w:val="99"/>
    <w:semiHidden/>
    <w:unhideWhenUsed/>
    <w:rsid w:val="00781E0F"/>
    <w:rPr>
      <w:sz w:val="20"/>
      <w:szCs w:val="20"/>
    </w:rPr>
  </w:style>
  <w:style w:type="character" w:customStyle="1" w:styleId="CommentaireCar">
    <w:name w:val="Commentaire Car"/>
    <w:basedOn w:val="Policepardfaut"/>
    <w:link w:val="Commentaire"/>
    <w:uiPriority w:val="99"/>
    <w:semiHidden/>
    <w:rsid w:val="00781E0F"/>
    <w:rPr>
      <w:sz w:val="20"/>
      <w:szCs w:val="20"/>
    </w:rPr>
  </w:style>
  <w:style w:type="paragraph" w:styleId="Objetducommentaire">
    <w:name w:val="annotation subject"/>
    <w:basedOn w:val="Commentaire"/>
    <w:next w:val="Commentaire"/>
    <w:link w:val="ObjetducommentaireCar"/>
    <w:uiPriority w:val="99"/>
    <w:semiHidden/>
    <w:unhideWhenUsed/>
    <w:rsid w:val="00781E0F"/>
    <w:rPr>
      <w:b/>
      <w:bCs/>
    </w:rPr>
  </w:style>
  <w:style w:type="character" w:customStyle="1" w:styleId="ObjetducommentaireCar">
    <w:name w:val="Objet du commentaire Car"/>
    <w:basedOn w:val="CommentaireCar"/>
    <w:link w:val="Objetducommentaire"/>
    <w:uiPriority w:val="99"/>
    <w:semiHidden/>
    <w:rsid w:val="00781E0F"/>
    <w:rPr>
      <w:b/>
      <w:bCs/>
      <w:sz w:val="20"/>
      <w:szCs w:val="20"/>
    </w:rPr>
  </w:style>
  <w:style w:type="paragraph" w:styleId="Textedebulles">
    <w:name w:val="Balloon Text"/>
    <w:basedOn w:val="Normal"/>
    <w:link w:val="TextedebullesCar"/>
    <w:uiPriority w:val="99"/>
    <w:semiHidden/>
    <w:unhideWhenUsed/>
    <w:rsid w:val="00781E0F"/>
    <w:rPr>
      <w:rFonts w:ascii="Tahoma" w:hAnsi="Tahoma" w:cs="Tahoma"/>
      <w:sz w:val="16"/>
      <w:szCs w:val="16"/>
    </w:rPr>
  </w:style>
  <w:style w:type="character" w:customStyle="1" w:styleId="TextedebullesCar">
    <w:name w:val="Texte de bulles Car"/>
    <w:basedOn w:val="Policepardfaut"/>
    <w:link w:val="Textedebulles"/>
    <w:uiPriority w:val="99"/>
    <w:semiHidden/>
    <w:rsid w:val="00781E0F"/>
    <w:rPr>
      <w:rFonts w:ascii="Tahoma" w:hAnsi="Tahoma" w:cs="Tahoma"/>
      <w:sz w:val="16"/>
      <w:szCs w:val="16"/>
    </w:rPr>
  </w:style>
  <w:style w:type="paragraph" w:customStyle="1" w:styleId="Default">
    <w:name w:val="Default"/>
    <w:rsid w:val="003606D9"/>
    <w:pPr>
      <w:autoSpaceDE w:val="0"/>
      <w:autoSpaceDN w:val="0"/>
      <w:adjustRightInd w:val="0"/>
      <w:spacing w:after="0" w:line="240" w:lineRule="auto"/>
    </w:pPr>
    <w:rPr>
      <w:rFonts w:ascii="Avenir" w:hAnsi="Avenir" w:cs="Avenir"/>
      <w:color w:val="000000"/>
      <w:sz w:val="24"/>
      <w:szCs w:val="24"/>
    </w:rPr>
  </w:style>
  <w:style w:type="character" w:customStyle="1" w:styleId="A8">
    <w:name w:val="A8"/>
    <w:uiPriority w:val="99"/>
    <w:rsid w:val="003606D9"/>
    <w:rPr>
      <w:rFonts w:cs="Avenir"/>
      <w:i/>
      <w:iCs/>
      <w:color w:val="221E1F"/>
      <w:sz w:val="19"/>
      <w:szCs w:val="19"/>
    </w:rPr>
  </w:style>
  <w:style w:type="character" w:styleId="Lienhypertexte">
    <w:name w:val="Hyperlink"/>
    <w:basedOn w:val="Policepardfaut"/>
    <w:uiPriority w:val="99"/>
    <w:unhideWhenUsed/>
    <w:rsid w:val="00CB150B"/>
    <w:rPr>
      <w:color w:val="0000FF" w:themeColor="hyperlink"/>
      <w:u w:val="single"/>
    </w:rPr>
  </w:style>
  <w:style w:type="paragraph" w:customStyle="1" w:styleId="CharCharCharCharCharCarCarCarCarCarCarCarCarCarCar0">
    <w:name w:val=" Char Char Char Char Char Car Car Car Car Car Car Car Car Car Car"/>
    <w:basedOn w:val="Normal"/>
    <w:rsid w:val="00D40034"/>
    <w:pPr>
      <w:spacing w:after="160" w:line="240" w:lineRule="exact"/>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rsde@eaurmc.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528</Words>
  <Characters>2906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LAGARRIGUE Céline</dc:creator>
  <cp:lastModifiedBy>LAGARRIGUE Céline</cp:lastModifiedBy>
  <cp:revision>10</cp:revision>
  <dcterms:created xsi:type="dcterms:W3CDTF">2017-10-06T09:28:00Z</dcterms:created>
  <dcterms:modified xsi:type="dcterms:W3CDTF">2017-10-06T14:49:00Z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711214380</vt:i4>
  </property>
  <property fmtid="{D5CDD505-2E9C-101B-9397-08002B2CF9AE}" pid="3" name="_NewReviewCycle">
    <vt:lpwstr/>
  </property>
  <property fmtid="{D5CDD505-2E9C-101B-9397-08002B2CF9AE}" pid="4" name="_EmailSubject">
    <vt:lpwstr>actu micropolluants</vt:lpwstr>
  </property>
  <property fmtid="{D5CDD505-2E9C-101B-9397-08002B2CF9AE}" pid="5" name="_AuthorEmail">
    <vt:lpwstr>Celine.LAGARRIGUE@eaurmc.fr</vt:lpwstr>
  </property>
  <property fmtid="{D5CDD505-2E9C-101B-9397-08002B2CF9AE}" pid="6" name="_AuthorEmailDisplayName">
    <vt:lpwstr>LAGARRIGUE Céline</vt:lpwstr>
  </property>
</Properties>
</file>