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9A226" w14:textId="48C3FB8A" w:rsidR="004D75C8" w:rsidRPr="00B13AC2" w:rsidRDefault="00B13AC2" w:rsidP="00AF7327">
      <w:pPr>
        <w:pStyle w:val="Titre"/>
        <w:spacing w:after="300"/>
        <w:jc w:val="center"/>
        <w:rPr>
          <w:rFonts w:asciiTheme="minorHAnsi" w:eastAsia="Calibri" w:hAnsiTheme="minorHAnsi" w:cs="Calibri"/>
          <w:color w:val="002060"/>
          <w:sz w:val="52"/>
          <w:szCs w:val="52"/>
        </w:rPr>
      </w:pPr>
      <w:r>
        <w:rPr>
          <w:rFonts w:asciiTheme="minorHAnsi" w:eastAsia="Calibri" w:hAnsiTheme="minorHAnsi" w:cs="Calibri"/>
          <w:color w:val="002060"/>
          <w:sz w:val="52"/>
          <w:szCs w:val="52"/>
        </w:rPr>
        <w:t xml:space="preserve">RECUEIL DES </w:t>
      </w:r>
      <w:r w:rsidR="00CB31B4" w:rsidRPr="00B13AC2">
        <w:rPr>
          <w:rFonts w:asciiTheme="minorHAnsi" w:eastAsia="Calibri" w:hAnsiTheme="minorHAnsi" w:cs="Calibri"/>
          <w:color w:val="002060"/>
          <w:sz w:val="52"/>
          <w:szCs w:val="52"/>
        </w:rPr>
        <w:t xml:space="preserve">FICHES </w:t>
      </w:r>
      <w:r>
        <w:rPr>
          <w:rFonts w:asciiTheme="minorHAnsi" w:eastAsia="Calibri" w:hAnsiTheme="minorHAnsi" w:cs="Calibri"/>
          <w:color w:val="002060"/>
          <w:sz w:val="52"/>
          <w:szCs w:val="52"/>
        </w:rPr>
        <w:t xml:space="preserve">TECHNIQUES </w:t>
      </w:r>
      <w:r w:rsidR="00896F1E">
        <w:rPr>
          <w:rFonts w:asciiTheme="minorHAnsi" w:eastAsia="Calibri" w:hAnsiTheme="minorHAnsi" w:cs="Calibri"/>
          <w:color w:val="002060"/>
          <w:sz w:val="52"/>
          <w:szCs w:val="52"/>
        </w:rPr>
        <w:t xml:space="preserve">SUR LES </w:t>
      </w:r>
      <w:r w:rsidR="00CB31B4" w:rsidRPr="00B13AC2">
        <w:rPr>
          <w:rFonts w:asciiTheme="minorHAnsi" w:eastAsia="Calibri" w:hAnsiTheme="minorHAnsi" w:cs="Calibri"/>
          <w:color w:val="002060"/>
          <w:sz w:val="52"/>
          <w:szCs w:val="52"/>
        </w:rPr>
        <w:t>INDICATEUR</w:t>
      </w:r>
      <w:r w:rsidR="000F2A5C">
        <w:rPr>
          <w:rFonts w:asciiTheme="minorHAnsi" w:eastAsia="Calibri" w:hAnsiTheme="minorHAnsi" w:cs="Calibri"/>
          <w:color w:val="002060"/>
          <w:sz w:val="52"/>
          <w:szCs w:val="52"/>
        </w:rPr>
        <w:t>S</w:t>
      </w:r>
      <w:r w:rsidR="00CB31B4" w:rsidRPr="00B13AC2">
        <w:rPr>
          <w:rFonts w:asciiTheme="minorHAnsi" w:eastAsia="Calibri" w:hAnsiTheme="minorHAnsi" w:cs="Calibri"/>
          <w:color w:val="002060"/>
          <w:sz w:val="52"/>
          <w:szCs w:val="52"/>
        </w:rPr>
        <w:t xml:space="preserve"> </w:t>
      </w:r>
      <w:r w:rsidR="00BE6345" w:rsidRPr="00B13AC2">
        <w:rPr>
          <w:rFonts w:asciiTheme="minorHAnsi" w:eastAsia="Calibri" w:hAnsiTheme="minorHAnsi" w:cs="Calibri"/>
          <w:color w:val="002060"/>
          <w:sz w:val="52"/>
          <w:szCs w:val="52"/>
        </w:rPr>
        <w:t>D</w:t>
      </w:r>
      <w:r w:rsidR="00CB31B4" w:rsidRPr="00B13AC2">
        <w:rPr>
          <w:rFonts w:asciiTheme="minorHAnsi" w:eastAsia="Calibri" w:hAnsiTheme="minorHAnsi" w:cs="Calibri"/>
          <w:color w:val="002060"/>
          <w:sz w:val="52"/>
          <w:szCs w:val="52"/>
        </w:rPr>
        <w:t>’EXPLOITATION</w:t>
      </w:r>
    </w:p>
    <w:p w14:paraId="7A275084" w14:textId="44A8F64E" w:rsidR="00896F1E" w:rsidRPr="00122DF2" w:rsidRDefault="00896F1E" w:rsidP="00896F1E">
      <w:pPr>
        <w:tabs>
          <w:tab w:val="num" w:pos="720"/>
        </w:tabs>
        <w:jc w:val="both"/>
        <w:rPr>
          <w:rFonts w:cstheme="minorHAnsi"/>
        </w:rPr>
      </w:pPr>
      <w:r w:rsidRPr="00122DF2">
        <w:t xml:space="preserve">Le présent document précise pour chacun des cinq indicateurs </w:t>
      </w:r>
      <w:r w:rsidRPr="00122DF2">
        <w:rPr>
          <w:rFonts w:cstheme="minorHAnsi"/>
        </w:rPr>
        <w:t>d’exploitation</w:t>
      </w:r>
      <w:r w:rsidRPr="00122DF2">
        <w:t xml:space="preserve"> </w:t>
      </w:r>
      <w:r w:rsidR="00C32CAA">
        <w:t xml:space="preserve">pouvant être mobilisés au sein d’un projet territorial PSE </w:t>
      </w:r>
      <w:r w:rsidRPr="00122DF2">
        <w:t>certains principes</w:t>
      </w:r>
      <w:r w:rsidRPr="00122DF2">
        <w:rPr>
          <w:rFonts w:cstheme="minorHAnsi"/>
        </w:rPr>
        <w:t xml:space="preserve"> de calcul</w:t>
      </w:r>
      <w:r w:rsidR="0018312F">
        <w:rPr>
          <w:rFonts w:cstheme="minorHAnsi"/>
        </w:rPr>
        <w:t xml:space="preserve"> comme indiqué dans l’annexe 3 du règlement de l’AMI PSE2</w:t>
      </w:r>
      <w:r w:rsidRPr="00122DF2">
        <w:rPr>
          <w:rFonts w:cstheme="minorHAnsi"/>
        </w:rPr>
        <w:t>.</w:t>
      </w:r>
      <w:r w:rsidR="001C6E4F">
        <w:rPr>
          <w:rFonts w:cstheme="minorHAnsi"/>
        </w:rPr>
        <w:t xml:space="preserve"> </w:t>
      </w:r>
      <w:r w:rsidRPr="00122DF2">
        <w:rPr>
          <w:rFonts w:cstheme="minorHAnsi"/>
        </w:rPr>
        <w:t>Sur cette base et durant la 2</w:t>
      </w:r>
      <w:r w:rsidRPr="00122DF2">
        <w:rPr>
          <w:rFonts w:cstheme="minorHAnsi"/>
          <w:vertAlign w:val="superscript"/>
        </w:rPr>
        <w:t>ème</w:t>
      </w:r>
      <w:r w:rsidRPr="00122DF2">
        <w:rPr>
          <w:rFonts w:cstheme="minorHAnsi"/>
        </w:rPr>
        <w:t xml:space="preserve"> phase de l’AMI </w:t>
      </w:r>
      <w:r w:rsidR="0018312F">
        <w:rPr>
          <w:rFonts w:cstheme="minorHAnsi"/>
        </w:rPr>
        <w:t xml:space="preserve">PSE2 </w:t>
      </w:r>
      <w:r w:rsidRPr="00122DF2">
        <w:rPr>
          <w:rFonts w:cstheme="minorHAnsi"/>
        </w:rPr>
        <w:t>(</w:t>
      </w:r>
      <w:r w:rsidR="00A56E3F">
        <w:rPr>
          <w:rFonts w:cstheme="minorHAnsi"/>
        </w:rPr>
        <w:t>phase d’</w:t>
      </w:r>
      <w:r w:rsidRPr="00122DF2">
        <w:rPr>
          <w:rFonts w:cstheme="minorHAnsi"/>
        </w:rPr>
        <w:t xml:space="preserve">émergence et </w:t>
      </w:r>
      <w:r w:rsidR="00A56E3F">
        <w:rPr>
          <w:rFonts w:cstheme="minorHAnsi"/>
        </w:rPr>
        <w:t xml:space="preserve">de </w:t>
      </w:r>
      <w:r w:rsidRPr="00122DF2">
        <w:rPr>
          <w:rFonts w:cstheme="minorHAnsi"/>
        </w:rPr>
        <w:t xml:space="preserve">montage du </w:t>
      </w:r>
      <w:r w:rsidR="00A56E3F">
        <w:rPr>
          <w:rFonts w:cstheme="minorHAnsi"/>
        </w:rPr>
        <w:t>projet PSE</w:t>
      </w:r>
      <w:r w:rsidRPr="00122DF2">
        <w:rPr>
          <w:rFonts w:cstheme="minorHAnsi"/>
        </w:rPr>
        <w:t>), l’opérateur présélectionné doit mettre au point un outil permettant de déterminer la valeur intrinsèque du/des indicateurs d’exploitation d</w:t>
      </w:r>
      <w:r w:rsidR="006F59BC">
        <w:rPr>
          <w:rFonts w:cstheme="minorHAnsi"/>
        </w:rPr>
        <w:t>e son</w:t>
      </w:r>
      <w:r w:rsidRPr="00122DF2">
        <w:rPr>
          <w:rFonts w:cstheme="minorHAnsi"/>
        </w:rPr>
        <w:t xml:space="preserve"> projet PSE.</w:t>
      </w:r>
    </w:p>
    <w:p w14:paraId="10EC0E32" w14:textId="354B2620" w:rsidR="0013783D" w:rsidRDefault="0013783D" w:rsidP="0013783D">
      <w:pPr>
        <w:tabs>
          <w:tab w:val="num" w:pos="720"/>
        </w:tabs>
        <w:jc w:val="both"/>
        <w:rPr>
          <w:rFonts w:cstheme="minorHAnsi"/>
        </w:rPr>
      </w:pPr>
      <w:r w:rsidRPr="00122DF2">
        <w:rPr>
          <w:rFonts w:cstheme="minorHAnsi"/>
        </w:rPr>
        <w:t xml:space="preserve">Le </w:t>
      </w:r>
      <w:r w:rsidRPr="00122DF2">
        <w:rPr>
          <w:rFonts w:cstheme="minorHAnsi"/>
          <w:b/>
          <w:bCs/>
        </w:rPr>
        <w:t>calcul de la rémunération (prévisionnelle et réalisée) de chaque exploitation engagée</w:t>
      </w:r>
      <w:r w:rsidRPr="00122DF2">
        <w:rPr>
          <w:rFonts w:cstheme="minorHAnsi"/>
        </w:rPr>
        <w:t xml:space="preserve"> </w:t>
      </w:r>
      <w:r w:rsidR="008747CD" w:rsidRPr="00122DF2">
        <w:rPr>
          <w:rFonts w:cstheme="minorHAnsi"/>
        </w:rPr>
        <w:t xml:space="preserve">dans le </w:t>
      </w:r>
      <w:r w:rsidR="00EC1572">
        <w:rPr>
          <w:rFonts w:cstheme="minorHAnsi"/>
        </w:rPr>
        <w:t>projet</w:t>
      </w:r>
      <w:r w:rsidR="008747CD" w:rsidRPr="00122DF2">
        <w:rPr>
          <w:rFonts w:cstheme="minorHAnsi"/>
        </w:rPr>
        <w:t xml:space="preserve"> PSE </w:t>
      </w:r>
      <w:r w:rsidRPr="00122DF2">
        <w:rPr>
          <w:rFonts w:cstheme="minorHAnsi"/>
        </w:rPr>
        <w:t>se f</w:t>
      </w:r>
      <w:r w:rsidR="008747CD" w:rsidRPr="00122DF2">
        <w:rPr>
          <w:rFonts w:cstheme="minorHAnsi"/>
        </w:rPr>
        <w:t>ait</w:t>
      </w:r>
      <w:r w:rsidRPr="00122DF2">
        <w:rPr>
          <w:rFonts w:cstheme="minorHAnsi"/>
        </w:rPr>
        <w:t xml:space="preserve"> notamment sur la base de la valeur intrinsèque des indicateurs d’exploitation </w:t>
      </w:r>
      <w:r w:rsidR="00C85EB9" w:rsidRPr="00122DF2">
        <w:rPr>
          <w:rFonts w:cstheme="minorHAnsi"/>
        </w:rPr>
        <w:t xml:space="preserve">du projet territorial PSE </w:t>
      </w:r>
      <w:r w:rsidRPr="00122DF2">
        <w:rPr>
          <w:rFonts w:cstheme="minorHAnsi"/>
        </w:rPr>
        <w:t xml:space="preserve">au travers de </w:t>
      </w:r>
      <w:r w:rsidRPr="00122DF2">
        <w:rPr>
          <w:rFonts w:cstheme="minorHAnsi"/>
          <w:b/>
          <w:bCs/>
        </w:rPr>
        <w:t xml:space="preserve">la plate-forme internet </w:t>
      </w:r>
      <w:hyperlink r:id="rId11" w:history="1">
        <w:r w:rsidRPr="00122DF2">
          <w:rPr>
            <w:rStyle w:val="Lienhypertexte"/>
            <w:rFonts w:cstheme="minorHAnsi"/>
            <w:b/>
            <w:bCs/>
          </w:rPr>
          <w:t>PSE environnement</w:t>
        </w:r>
      </w:hyperlink>
      <w:r w:rsidRPr="00122DF2">
        <w:rPr>
          <w:rFonts w:cstheme="minorHAnsi"/>
        </w:rPr>
        <w:t xml:space="preserve"> au moyen d’un compte « opérateur PSE » à créer une fois la 1</w:t>
      </w:r>
      <w:r w:rsidRPr="00122DF2">
        <w:rPr>
          <w:rFonts w:cstheme="minorHAnsi"/>
          <w:vertAlign w:val="superscript"/>
        </w:rPr>
        <w:t>ère</w:t>
      </w:r>
      <w:r w:rsidRPr="00122DF2">
        <w:rPr>
          <w:rFonts w:cstheme="minorHAnsi"/>
        </w:rPr>
        <w:t xml:space="preserve"> phase passée.</w:t>
      </w:r>
    </w:p>
    <w:p w14:paraId="57ED492C" w14:textId="77777777" w:rsidR="004F7755" w:rsidRPr="00122DF2" w:rsidRDefault="004F7755" w:rsidP="0013783D">
      <w:pPr>
        <w:tabs>
          <w:tab w:val="num" w:pos="720"/>
        </w:tabs>
        <w:jc w:val="both"/>
        <w:rPr>
          <w:rFonts w:cstheme="minorHAnsi"/>
        </w:rPr>
      </w:pPr>
    </w:p>
    <w:sdt>
      <w:sdtPr>
        <w:rPr>
          <w:rFonts w:asciiTheme="minorHAnsi" w:eastAsiaTheme="minorHAnsi" w:hAnsiTheme="minorHAnsi" w:cstheme="minorBidi"/>
          <w:color w:val="auto"/>
          <w:kern w:val="2"/>
          <w:sz w:val="22"/>
          <w:szCs w:val="22"/>
          <w:lang w:eastAsia="en-US"/>
          <w14:ligatures w14:val="standardContextual"/>
        </w:rPr>
        <w:id w:val="-8222742"/>
        <w:docPartObj>
          <w:docPartGallery w:val="Table of Contents"/>
          <w:docPartUnique/>
        </w:docPartObj>
      </w:sdtPr>
      <w:sdtEndPr>
        <w:rPr>
          <w:b/>
          <w:bCs/>
        </w:rPr>
      </w:sdtEndPr>
      <w:sdtContent>
        <w:p w14:paraId="7D16BC3A" w14:textId="1C63842F" w:rsidR="00CB31B4" w:rsidRPr="00122DF2" w:rsidRDefault="00CB31B4" w:rsidP="00626C29">
          <w:pPr>
            <w:pStyle w:val="En-ttedetabledesmatires"/>
            <w:rPr>
              <w:rFonts w:asciiTheme="minorHAnsi" w:hAnsiTheme="minorHAnsi"/>
            </w:rPr>
          </w:pPr>
          <w:r w:rsidRPr="00122DF2">
            <w:rPr>
              <w:rFonts w:asciiTheme="minorHAnsi" w:hAnsiTheme="minorHAnsi"/>
            </w:rPr>
            <w:t>Table des matières</w:t>
          </w:r>
        </w:p>
        <w:p w14:paraId="1A2D1AAB" w14:textId="66F11984" w:rsidR="004F7755" w:rsidRDefault="00CB31B4" w:rsidP="004F7755">
          <w:pPr>
            <w:pStyle w:val="TM1"/>
            <w:rPr>
              <w:rFonts w:eastAsiaTheme="minorEastAsia"/>
              <w:sz w:val="24"/>
              <w:szCs w:val="24"/>
              <w:lang w:eastAsia="fr-FR"/>
            </w:rPr>
          </w:pPr>
          <w:r w:rsidRPr="00122DF2">
            <w:fldChar w:fldCharType="begin"/>
          </w:r>
          <w:r w:rsidRPr="00122DF2">
            <w:instrText xml:space="preserve"> TOC \o "1-3" \h \z \u </w:instrText>
          </w:r>
          <w:r w:rsidRPr="00122DF2">
            <w:fldChar w:fldCharType="separate"/>
          </w:r>
          <w:hyperlink w:anchor="_Toc220428518" w:history="1">
            <w:r w:rsidR="004F7755" w:rsidRPr="004F7755">
              <w:rPr>
                <w:rStyle w:val="Lienhypertexte"/>
                <w:color w:val="0F9ED5" w:themeColor="accent4"/>
              </w:rPr>
              <w:t>Indicateur « sobriété en eau »</w:t>
            </w:r>
            <w:r w:rsidR="004F7755">
              <w:rPr>
                <w:webHidden/>
              </w:rPr>
              <w:tab/>
            </w:r>
            <w:r w:rsidR="004F7755">
              <w:rPr>
                <w:webHidden/>
              </w:rPr>
              <w:fldChar w:fldCharType="begin"/>
            </w:r>
            <w:r w:rsidR="004F7755">
              <w:rPr>
                <w:webHidden/>
              </w:rPr>
              <w:instrText xml:space="preserve"> PAGEREF _Toc220428518 \h </w:instrText>
            </w:r>
            <w:r w:rsidR="004F7755">
              <w:rPr>
                <w:webHidden/>
              </w:rPr>
            </w:r>
            <w:r w:rsidR="004F7755">
              <w:rPr>
                <w:webHidden/>
              </w:rPr>
              <w:fldChar w:fldCharType="separate"/>
            </w:r>
            <w:r w:rsidR="004F7755">
              <w:rPr>
                <w:webHidden/>
              </w:rPr>
              <w:t>2</w:t>
            </w:r>
            <w:r w:rsidR="004F7755">
              <w:rPr>
                <w:webHidden/>
              </w:rPr>
              <w:fldChar w:fldCharType="end"/>
            </w:r>
          </w:hyperlink>
        </w:p>
        <w:p w14:paraId="4F64D69B" w14:textId="0963725B" w:rsidR="004F7755" w:rsidRDefault="004F7755">
          <w:pPr>
            <w:pStyle w:val="TM2"/>
            <w:tabs>
              <w:tab w:val="left" w:pos="720"/>
              <w:tab w:val="right" w:leader="dot" w:pos="9062"/>
            </w:tabs>
            <w:rPr>
              <w:rFonts w:eastAsiaTheme="minorEastAsia"/>
              <w:noProof/>
              <w:sz w:val="24"/>
              <w:szCs w:val="24"/>
              <w:lang w:eastAsia="fr-FR"/>
            </w:rPr>
          </w:pPr>
          <w:hyperlink w:anchor="_Toc220428519" w:history="1">
            <w:r w:rsidRPr="00213713">
              <w:rPr>
                <w:rStyle w:val="Lienhypertexte"/>
                <w:noProof/>
              </w:rPr>
              <w:t>1-</w:t>
            </w:r>
            <w:r>
              <w:rPr>
                <w:rFonts w:eastAsiaTheme="minorEastAsia"/>
                <w:noProof/>
                <w:sz w:val="24"/>
                <w:szCs w:val="24"/>
                <w:lang w:eastAsia="fr-FR"/>
              </w:rPr>
              <w:tab/>
            </w:r>
            <w:r w:rsidRPr="00213713">
              <w:rPr>
                <w:rStyle w:val="Lienhypertexte"/>
                <w:noProof/>
              </w:rPr>
              <w:t>Données à collecter pour le diagnostic agricole du territoire</w:t>
            </w:r>
            <w:r>
              <w:rPr>
                <w:noProof/>
                <w:webHidden/>
              </w:rPr>
              <w:tab/>
            </w:r>
            <w:r>
              <w:rPr>
                <w:noProof/>
                <w:webHidden/>
              </w:rPr>
              <w:fldChar w:fldCharType="begin"/>
            </w:r>
            <w:r>
              <w:rPr>
                <w:noProof/>
                <w:webHidden/>
              </w:rPr>
              <w:instrText xml:space="preserve"> PAGEREF _Toc220428519 \h </w:instrText>
            </w:r>
            <w:r>
              <w:rPr>
                <w:noProof/>
                <w:webHidden/>
              </w:rPr>
            </w:r>
            <w:r>
              <w:rPr>
                <w:noProof/>
                <w:webHidden/>
              </w:rPr>
              <w:fldChar w:fldCharType="separate"/>
            </w:r>
            <w:r>
              <w:rPr>
                <w:noProof/>
                <w:webHidden/>
              </w:rPr>
              <w:t>2</w:t>
            </w:r>
            <w:r>
              <w:rPr>
                <w:noProof/>
                <w:webHidden/>
              </w:rPr>
              <w:fldChar w:fldCharType="end"/>
            </w:r>
          </w:hyperlink>
        </w:p>
        <w:p w14:paraId="6A89D2E5" w14:textId="0374EDC8" w:rsidR="004F7755" w:rsidRDefault="004F7755">
          <w:pPr>
            <w:pStyle w:val="TM2"/>
            <w:tabs>
              <w:tab w:val="left" w:pos="720"/>
              <w:tab w:val="right" w:leader="dot" w:pos="9062"/>
            </w:tabs>
            <w:rPr>
              <w:rFonts w:eastAsiaTheme="minorEastAsia"/>
              <w:noProof/>
              <w:sz w:val="24"/>
              <w:szCs w:val="24"/>
              <w:lang w:eastAsia="fr-FR"/>
            </w:rPr>
          </w:pPr>
          <w:hyperlink w:anchor="_Toc220428520" w:history="1">
            <w:r w:rsidRPr="00213713">
              <w:rPr>
                <w:rStyle w:val="Lienhypertexte"/>
                <w:noProof/>
              </w:rPr>
              <w:t>2-</w:t>
            </w:r>
            <w:r>
              <w:rPr>
                <w:rFonts w:eastAsiaTheme="minorEastAsia"/>
                <w:noProof/>
                <w:sz w:val="24"/>
                <w:szCs w:val="24"/>
                <w:lang w:eastAsia="fr-FR"/>
              </w:rPr>
              <w:tab/>
            </w:r>
            <w:r w:rsidRPr="00213713">
              <w:rPr>
                <w:rStyle w:val="Lienhypertexte"/>
                <w:noProof/>
              </w:rPr>
              <w:t>Calcul de la note de l’indicateur d’exploitation</w:t>
            </w:r>
            <w:r>
              <w:rPr>
                <w:noProof/>
                <w:webHidden/>
              </w:rPr>
              <w:tab/>
            </w:r>
            <w:r>
              <w:rPr>
                <w:noProof/>
                <w:webHidden/>
              </w:rPr>
              <w:fldChar w:fldCharType="begin"/>
            </w:r>
            <w:r>
              <w:rPr>
                <w:noProof/>
                <w:webHidden/>
              </w:rPr>
              <w:instrText xml:space="preserve"> PAGEREF _Toc220428520 \h </w:instrText>
            </w:r>
            <w:r>
              <w:rPr>
                <w:noProof/>
                <w:webHidden/>
              </w:rPr>
            </w:r>
            <w:r>
              <w:rPr>
                <w:noProof/>
                <w:webHidden/>
              </w:rPr>
              <w:fldChar w:fldCharType="separate"/>
            </w:r>
            <w:r>
              <w:rPr>
                <w:noProof/>
                <w:webHidden/>
              </w:rPr>
              <w:t>3</w:t>
            </w:r>
            <w:r>
              <w:rPr>
                <w:noProof/>
                <w:webHidden/>
              </w:rPr>
              <w:fldChar w:fldCharType="end"/>
            </w:r>
          </w:hyperlink>
        </w:p>
        <w:p w14:paraId="446C8C2F" w14:textId="3D72333D" w:rsidR="004F7755" w:rsidRDefault="004F7755">
          <w:pPr>
            <w:pStyle w:val="TM2"/>
            <w:tabs>
              <w:tab w:val="left" w:pos="720"/>
              <w:tab w:val="right" w:leader="dot" w:pos="9062"/>
            </w:tabs>
            <w:rPr>
              <w:rFonts w:eastAsiaTheme="minorEastAsia"/>
              <w:noProof/>
              <w:sz w:val="24"/>
              <w:szCs w:val="24"/>
              <w:lang w:eastAsia="fr-FR"/>
            </w:rPr>
          </w:pPr>
          <w:hyperlink w:anchor="_Toc220428521" w:history="1">
            <w:r w:rsidRPr="00213713">
              <w:rPr>
                <w:rStyle w:val="Lienhypertexte"/>
                <w:noProof/>
              </w:rPr>
              <w:t>3-</w:t>
            </w:r>
            <w:r>
              <w:rPr>
                <w:rFonts w:eastAsiaTheme="minorEastAsia"/>
                <w:noProof/>
                <w:sz w:val="24"/>
                <w:szCs w:val="24"/>
                <w:lang w:eastAsia="fr-FR"/>
              </w:rPr>
              <w:tab/>
            </w:r>
            <w:r w:rsidRPr="00213713">
              <w:rPr>
                <w:rStyle w:val="Lienhypertexte"/>
                <w:noProof/>
              </w:rPr>
              <w:t>Création de la grille de notation</w:t>
            </w:r>
            <w:r>
              <w:rPr>
                <w:noProof/>
                <w:webHidden/>
              </w:rPr>
              <w:tab/>
            </w:r>
            <w:r>
              <w:rPr>
                <w:noProof/>
                <w:webHidden/>
              </w:rPr>
              <w:fldChar w:fldCharType="begin"/>
            </w:r>
            <w:r>
              <w:rPr>
                <w:noProof/>
                <w:webHidden/>
              </w:rPr>
              <w:instrText xml:space="preserve"> PAGEREF _Toc220428521 \h </w:instrText>
            </w:r>
            <w:r>
              <w:rPr>
                <w:noProof/>
                <w:webHidden/>
              </w:rPr>
            </w:r>
            <w:r>
              <w:rPr>
                <w:noProof/>
                <w:webHidden/>
              </w:rPr>
              <w:fldChar w:fldCharType="separate"/>
            </w:r>
            <w:r>
              <w:rPr>
                <w:noProof/>
                <w:webHidden/>
              </w:rPr>
              <w:t>3</w:t>
            </w:r>
            <w:r>
              <w:rPr>
                <w:noProof/>
                <w:webHidden/>
              </w:rPr>
              <w:fldChar w:fldCharType="end"/>
            </w:r>
          </w:hyperlink>
        </w:p>
        <w:p w14:paraId="134ABD9F" w14:textId="32FF7C30" w:rsidR="004F7755" w:rsidRDefault="004F7755" w:rsidP="004F7755">
          <w:pPr>
            <w:pStyle w:val="TM1"/>
            <w:rPr>
              <w:rFonts w:eastAsiaTheme="minorEastAsia"/>
              <w:sz w:val="24"/>
              <w:szCs w:val="24"/>
              <w:lang w:eastAsia="fr-FR"/>
            </w:rPr>
          </w:pPr>
          <w:hyperlink w:anchor="_Toc220428522" w:history="1">
            <w:r w:rsidRPr="00213713">
              <w:rPr>
                <w:rStyle w:val="Lienhypertexte"/>
              </w:rPr>
              <w:t>I</w:t>
            </w:r>
            <w:r w:rsidRPr="004F7755">
              <w:rPr>
                <w:rStyle w:val="Lienhypertexte"/>
                <w:color w:val="0F9ED5" w:themeColor="accent4"/>
              </w:rPr>
              <w:t>ndicateur « Qualité de l’eau »</w:t>
            </w:r>
            <w:r>
              <w:rPr>
                <w:webHidden/>
              </w:rPr>
              <w:tab/>
            </w:r>
            <w:r>
              <w:rPr>
                <w:webHidden/>
              </w:rPr>
              <w:fldChar w:fldCharType="begin"/>
            </w:r>
            <w:r>
              <w:rPr>
                <w:webHidden/>
              </w:rPr>
              <w:instrText xml:space="preserve"> PAGEREF _Toc220428522 \h </w:instrText>
            </w:r>
            <w:r>
              <w:rPr>
                <w:webHidden/>
              </w:rPr>
            </w:r>
            <w:r>
              <w:rPr>
                <w:webHidden/>
              </w:rPr>
              <w:fldChar w:fldCharType="separate"/>
            </w:r>
            <w:r>
              <w:rPr>
                <w:webHidden/>
              </w:rPr>
              <w:t>5</w:t>
            </w:r>
            <w:r>
              <w:rPr>
                <w:webHidden/>
              </w:rPr>
              <w:fldChar w:fldCharType="end"/>
            </w:r>
          </w:hyperlink>
        </w:p>
        <w:p w14:paraId="3559285F" w14:textId="389CAD24" w:rsidR="004F7755" w:rsidRDefault="004F7755">
          <w:pPr>
            <w:pStyle w:val="TM2"/>
            <w:tabs>
              <w:tab w:val="left" w:pos="720"/>
              <w:tab w:val="right" w:leader="dot" w:pos="9062"/>
            </w:tabs>
            <w:rPr>
              <w:rFonts w:eastAsiaTheme="minorEastAsia"/>
              <w:noProof/>
              <w:sz w:val="24"/>
              <w:szCs w:val="24"/>
              <w:lang w:eastAsia="fr-FR"/>
            </w:rPr>
          </w:pPr>
          <w:hyperlink w:anchor="_Toc220428523" w:history="1">
            <w:r w:rsidRPr="00213713">
              <w:rPr>
                <w:rStyle w:val="Lienhypertexte"/>
                <w:noProof/>
              </w:rPr>
              <w:t>1-</w:t>
            </w:r>
            <w:r>
              <w:rPr>
                <w:rFonts w:eastAsiaTheme="minorEastAsia"/>
                <w:noProof/>
                <w:sz w:val="24"/>
                <w:szCs w:val="24"/>
                <w:lang w:eastAsia="fr-FR"/>
              </w:rPr>
              <w:tab/>
            </w:r>
            <w:r w:rsidRPr="00213713">
              <w:rPr>
                <w:rStyle w:val="Lienhypertexte"/>
                <w:noProof/>
              </w:rPr>
              <w:t>Calcul de la note de l’indicateur d’exploitation</w:t>
            </w:r>
            <w:r>
              <w:rPr>
                <w:noProof/>
                <w:webHidden/>
              </w:rPr>
              <w:tab/>
            </w:r>
            <w:r>
              <w:rPr>
                <w:noProof/>
                <w:webHidden/>
              </w:rPr>
              <w:fldChar w:fldCharType="begin"/>
            </w:r>
            <w:r>
              <w:rPr>
                <w:noProof/>
                <w:webHidden/>
              </w:rPr>
              <w:instrText xml:space="preserve"> PAGEREF _Toc220428523 \h </w:instrText>
            </w:r>
            <w:r>
              <w:rPr>
                <w:noProof/>
                <w:webHidden/>
              </w:rPr>
            </w:r>
            <w:r>
              <w:rPr>
                <w:noProof/>
                <w:webHidden/>
              </w:rPr>
              <w:fldChar w:fldCharType="separate"/>
            </w:r>
            <w:r>
              <w:rPr>
                <w:noProof/>
                <w:webHidden/>
              </w:rPr>
              <w:t>5</w:t>
            </w:r>
            <w:r>
              <w:rPr>
                <w:noProof/>
                <w:webHidden/>
              </w:rPr>
              <w:fldChar w:fldCharType="end"/>
            </w:r>
          </w:hyperlink>
        </w:p>
        <w:p w14:paraId="386E9369" w14:textId="061916EA" w:rsidR="004F7755" w:rsidRDefault="004F7755">
          <w:pPr>
            <w:pStyle w:val="TM2"/>
            <w:tabs>
              <w:tab w:val="left" w:pos="720"/>
              <w:tab w:val="right" w:leader="dot" w:pos="9062"/>
            </w:tabs>
            <w:rPr>
              <w:rFonts w:eastAsiaTheme="minorEastAsia"/>
              <w:noProof/>
              <w:sz w:val="24"/>
              <w:szCs w:val="24"/>
              <w:lang w:eastAsia="fr-FR"/>
            </w:rPr>
          </w:pPr>
          <w:hyperlink w:anchor="_Toc220428524" w:history="1">
            <w:r w:rsidRPr="00213713">
              <w:rPr>
                <w:rStyle w:val="Lienhypertexte"/>
                <w:noProof/>
              </w:rPr>
              <w:t>2-</w:t>
            </w:r>
            <w:r>
              <w:rPr>
                <w:rFonts w:eastAsiaTheme="minorEastAsia"/>
                <w:noProof/>
                <w:sz w:val="24"/>
                <w:szCs w:val="24"/>
                <w:lang w:eastAsia="fr-FR"/>
              </w:rPr>
              <w:tab/>
            </w:r>
            <w:r w:rsidRPr="00213713">
              <w:rPr>
                <w:rStyle w:val="Lienhypertexte"/>
                <w:noProof/>
              </w:rPr>
              <w:t>Création de la grille de notation</w:t>
            </w:r>
            <w:r>
              <w:rPr>
                <w:noProof/>
                <w:webHidden/>
              </w:rPr>
              <w:tab/>
            </w:r>
            <w:r>
              <w:rPr>
                <w:noProof/>
                <w:webHidden/>
              </w:rPr>
              <w:fldChar w:fldCharType="begin"/>
            </w:r>
            <w:r>
              <w:rPr>
                <w:noProof/>
                <w:webHidden/>
              </w:rPr>
              <w:instrText xml:space="preserve"> PAGEREF _Toc220428524 \h </w:instrText>
            </w:r>
            <w:r>
              <w:rPr>
                <w:noProof/>
                <w:webHidden/>
              </w:rPr>
            </w:r>
            <w:r>
              <w:rPr>
                <w:noProof/>
                <w:webHidden/>
              </w:rPr>
              <w:fldChar w:fldCharType="separate"/>
            </w:r>
            <w:r>
              <w:rPr>
                <w:noProof/>
                <w:webHidden/>
              </w:rPr>
              <w:t>6</w:t>
            </w:r>
            <w:r>
              <w:rPr>
                <w:noProof/>
                <w:webHidden/>
              </w:rPr>
              <w:fldChar w:fldCharType="end"/>
            </w:r>
          </w:hyperlink>
        </w:p>
        <w:p w14:paraId="051A0741" w14:textId="4E5290D9" w:rsidR="004F7755" w:rsidRPr="004F7755" w:rsidRDefault="004F7755" w:rsidP="004F7755">
          <w:pPr>
            <w:pStyle w:val="TM1"/>
            <w:rPr>
              <w:rFonts w:eastAsiaTheme="minorEastAsia"/>
              <w:sz w:val="24"/>
              <w:szCs w:val="24"/>
              <w:lang w:eastAsia="fr-FR"/>
            </w:rPr>
          </w:pPr>
          <w:hyperlink w:anchor="_Toc220428525" w:history="1">
            <w:r w:rsidRPr="004F7755">
              <w:rPr>
                <w:rStyle w:val="Lienhypertexte"/>
                <w:color w:val="0F9ED5" w:themeColor="accent4"/>
              </w:rPr>
              <w:t>Indicateur « Biodiversité »</w:t>
            </w:r>
            <w:r w:rsidRPr="004F7755">
              <w:rPr>
                <w:webHidden/>
              </w:rPr>
              <w:tab/>
            </w:r>
            <w:r w:rsidRPr="004F7755">
              <w:rPr>
                <w:webHidden/>
              </w:rPr>
              <w:fldChar w:fldCharType="begin"/>
            </w:r>
            <w:r w:rsidRPr="004F7755">
              <w:rPr>
                <w:webHidden/>
              </w:rPr>
              <w:instrText xml:space="preserve"> PAGEREF _Toc220428525 \h </w:instrText>
            </w:r>
            <w:r w:rsidRPr="004F7755">
              <w:rPr>
                <w:webHidden/>
              </w:rPr>
            </w:r>
            <w:r w:rsidRPr="004F7755">
              <w:rPr>
                <w:webHidden/>
              </w:rPr>
              <w:fldChar w:fldCharType="separate"/>
            </w:r>
            <w:r w:rsidRPr="004F7755">
              <w:rPr>
                <w:webHidden/>
              </w:rPr>
              <w:t>7</w:t>
            </w:r>
            <w:r w:rsidRPr="004F7755">
              <w:rPr>
                <w:webHidden/>
              </w:rPr>
              <w:fldChar w:fldCharType="end"/>
            </w:r>
          </w:hyperlink>
        </w:p>
        <w:p w14:paraId="5294EF80" w14:textId="04FE9FEE" w:rsidR="004F7755" w:rsidRDefault="004F7755">
          <w:pPr>
            <w:pStyle w:val="TM2"/>
            <w:tabs>
              <w:tab w:val="left" w:pos="720"/>
              <w:tab w:val="right" w:leader="dot" w:pos="9062"/>
            </w:tabs>
            <w:rPr>
              <w:rFonts w:eastAsiaTheme="minorEastAsia"/>
              <w:noProof/>
              <w:sz w:val="24"/>
              <w:szCs w:val="24"/>
              <w:lang w:eastAsia="fr-FR"/>
            </w:rPr>
          </w:pPr>
          <w:hyperlink w:anchor="_Toc220428526" w:history="1">
            <w:r w:rsidRPr="00213713">
              <w:rPr>
                <w:rStyle w:val="Lienhypertexte"/>
                <w:noProof/>
              </w:rPr>
              <w:t>3-</w:t>
            </w:r>
            <w:r>
              <w:rPr>
                <w:rFonts w:eastAsiaTheme="minorEastAsia"/>
                <w:noProof/>
                <w:sz w:val="24"/>
                <w:szCs w:val="24"/>
                <w:lang w:eastAsia="fr-FR"/>
              </w:rPr>
              <w:tab/>
            </w:r>
            <w:r w:rsidRPr="00213713">
              <w:rPr>
                <w:rStyle w:val="Lienhypertexte"/>
                <w:noProof/>
              </w:rPr>
              <w:t>Définition de l’indicateur biodiversité par l’opérateur</w:t>
            </w:r>
            <w:r>
              <w:rPr>
                <w:noProof/>
                <w:webHidden/>
              </w:rPr>
              <w:tab/>
            </w:r>
            <w:r>
              <w:rPr>
                <w:noProof/>
                <w:webHidden/>
              </w:rPr>
              <w:fldChar w:fldCharType="begin"/>
            </w:r>
            <w:r>
              <w:rPr>
                <w:noProof/>
                <w:webHidden/>
              </w:rPr>
              <w:instrText xml:space="preserve"> PAGEREF _Toc220428526 \h </w:instrText>
            </w:r>
            <w:r>
              <w:rPr>
                <w:noProof/>
                <w:webHidden/>
              </w:rPr>
            </w:r>
            <w:r>
              <w:rPr>
                <w:noProof/>
                <w:webHidden/>
              </w:rPr>
              <w:fldChar w:fldCharType="separate"/>
            </w:r>
            <w:r>
              <w:rPr>
                <w:noProof/>
                <w:webHidden/>
              </w:rPr>
              <w:t>7</w:t>
            </w:r>
            <w:r>
              <w:rPr>
                <w:noProof/>
                <w:webHidden/>
              </w:rPr>
              <w:fldChar w:fldCharType="end"/>
            </w:r>
          </w:hyperlink>
        </w:p>
        <w:p w14:paraId="36B4E5C1" w14:textId="1AFC6E44" w:rsidR="004F7755" w:rsidRDefault="004F7755">
          <w:pPr>
            <w:pStyle w:val="TM2"/>
            <w:tabs>
              <w:tab w:val="left" w:pos="720"/>
              <w:tab w:val="right" w:leader="dot" w:pos="9062"/>
            </w:tabs>
            <w:rPr>
              <w:rFonts w:eastAsiaTheme="minorEastAsia"/>
              <w:noProof/>
              <w:sz w:val="24"/>
              <w:szCs w:val="24"/>
              <w:lang w:eastAsia="fr-FR"/>
            </w:rPr>
          </w:pPr>
          <w:hyperlink w:anchor="_Toc220428527" w:history="1">
            <w:r w:rsidRPr="00213713">
              <w:rPr>
                <w:rStyle w:val="Lienhypertexte"/>
                <w:noProof/>
              </w:rPr>
              <w:t>4-</w:t>
            </w:r>
            <w:r>
              <w:rPr>
                <w:rFonts w:eastAsiaTheme="minorEastAsia"/>
                <w:noProof/>
                <w:sz w:val="24"/>
                <w:szCs w:val="24"/>
                <w:lang w:eastAsia="fr-FR"/>
              </w:rPr>
              <w:tab/>
            </w:r>
            <w:r w:rsidRPr="00213713">
              <w:rPr>
                <w:rStyle w:val="Lienhypertexte"/>
                <w:noProof/>
              </w:rPr>
              <w:t>Calcul de la note de l’indicateur d’exploitation</w:t>
            </w:r>
            <w:r>
              <w:rPr>
                <w:noProof/>
                <w:webHidden/>
              </w:rPr>
              <w:tab/>
            </w:r>
            <w:r>
              <w:rPr>
                <w:noProof/>
                <w:webHidden/>
              </w:rPr>
              <w:fldChar w:fldCharType="begin"/>
            </w:r>
            <w:r>
              <w:rPr>
                <w:noProof/>
                <w:webHidden/>
              </w:rPr>
              <w:instrText xml:space="preserve"> PAGEREF _Toc220428527 \h </w:instrText>
            </w:r>
            <w:r>
              <w:rPr>
                <w:noProof/>
                <w:webHidden/>
              </w:rPr>
            </w:r>
            <w:r>
              <w:rPr>
                <w:noProof/>
                <w:webHidden/>
              </w:rPr>
              <w:fldChar w:fldCharType="separate"/>
            </w:r>
            <w:r>
              <w:rPr>
                <w:noProof/>
                <w:webHidden/>
              </w:rPr>
              <w:t>8</w:t>
            </w:r>
            <w:r>
              <w:rPr>
                <w:noProof/>
                <w:webHidden/>
              </w:rPr>
              <w:fldChar w:fldCharType="end"/>
            </w:r>
          </w:hyperlink>
        </w:p>
        <w:p w14:paraId="54DEF84D" w14:textId="2D83A4B8" w:rsidR="004F7755" w:rsidRDefault="004F7755">
          <w:pPr>
            <w:pStyle w:val="TM2"/>
            <w:tabs>
              <w:tab w:val="left" w:pos="720"/>
              <w:tab w:val="right" w:leader="dot" w:pos="9062"/>
            </w:tabs>
            <w:rPr>
              <w:rFonts w:eastAsiaTheme="minorEastAsia"/>
              <w:noProof/>
              <w:sz w:val="24"/>
              <w:szCs w:val="24"/>
              <w:lang w:eastAsia="fr-FR"/>
            </w:rPr>
          </w:pPr>
          <w:hyperlink w:anchor="_Toc220428528" w:history="1">
            <w:r w:rsidRPr="00213713">
              <w:rPr>
                <w:rStyle w:val="Lienhypertexte"/>
                <w:noProof/>
              </w:rPr>
              <w:t>5-</w:t>
            </w:r>
            <w:r>
              <w:rPr>
                <w:rFonts w:eastAsiaTheme="minorEastAsia"/>
                <w:noProof/>
                <w:sz w:val="24"/>
                <w:szCs w:val="24"/>
                <w:lang w:eastAsia="fr-FR"/>
              </w:rPr>
              <w:tab/>
            </w:r>
            <w:r w:rsidRPr="00213713">
              <w:rPr>
                <w:rStyle w:val="Lienhypertexte"/>
                <w:noProof/>
              </w:rPr>
              <w:t>Création de la grille de notation</w:t>
            </w:r>
            <w:r>
              <w:rPr>
                <w:noProof/>
                <w:webHidden/>
              </w:rPr>
              <w:tab/>
            </w:r>
            <w:r>
              <w:rPr>
                <w:noProof/>
                <w:webHidden/>
              </w:rPr>
              <w:fldChar w:fldCharType="begin"/>
            </w:r>
            <w:r>
              <w:rPr>
                <w:noProof/>
                <w:webHidden/>
              </w:rPr>
              <w:instrText xml:space="preserve"> PAGEREF _Toc220428528 \h </w:instrText>
            </w:r>
            <w:r>
              <w:rPr>
                <w:noProof/>
                <w:webHidden/>
              </w:rPr>
            </w:r>
            <w:r>
              <w:rPr>
                <w:noProof/>
                <w:webHidden/>
              </w:rPr>
              <w:fldChar w:fldCharType="separate"/>
            </w:r>
            <w:r>
              <w:rPr>
                <w:noProof/>
                <w:webHidden/>
              </w:rPr>
              <w:t>8</w:t>
            </w:r>
            <w:r>
              <w:rPr>
                <w:noProof/>
                <w:webHidden/>
              </w:rPr>
              <w:fldChar w:fldCharType="end"/>
            </w:r>
          </w:hyperlink>
        </w:p>
        <w:p w14:paraId="08E87DFD" w14:textId="1F5E28B7" w:rsidR="004F7755" w:rsidRDefault="004F7755" w:rsidP="004F7755">
          <w:pPr>
            <w:pStyle w:val="TM1"/>
            <w:rPr>
              <w:rFonts w:eastAsiaTheme="minorEastAsia"/>
              <w:sz w:val="24"/>
              <w:szCs w:val="24"/>
              <w:lang w:eastAsia="fr-FR"/>
            </w:rPr>
          </w:pPr>
          <w:hyperlink w:anchor="_Toc220428529" w:history="1">
            <w:r w:rsidRPr="00213713">
              <w:rPr>
                <w:rStyle w:val="Lienhypertexte"/>
              </w:rPr>
              <w:t>Indicateur « Zones humides »</w:t>
            </w:r>
            <w:r>
              <w:rPr>
                <w:webHidden/>
              </w:rPr>
              <w:tab/>
            </w:r>
            <w:r>
              <w:rPr>
                <w:webHidden/>
              </w:rPr>
              <w:fldChar w:fldCharType="begin"/>
            </w:r>
            <w:r>
              <w:rPr>
                <w:webHidden/>
              </w:rPr>
              <w:instrText xml:space="preserve"> PAGEREF _Toc220428529 \h </w:instrText>
            </w:r>
            <w:r>
              <w:rPr>
                <w:webHidden/>
              </w:rPr>
            </w:r>
            <w:r>
              <w:rPr>
                <w:webHidden/>
              </w:rPr>
              <w:fldChar w:fldCharType="separate"/>
            </w:r>
            <w:r>
              <w:rPr>
                <w:webHidden/>
              </w:rPr>
              <w:t>9</w:t>
            </w:r>
            <w:r>
              <w:rPr>
                <w:webHidden/>
              </w:rPr>
              <w:fldChar w:fldCharType="end"/>
            </w:r>
          </w:hyperlink>
        </w:p>
        <w:p w14:paraId="5A36087C" w14:textId="5F7C5574" w:rsidR="004F7755" w:rsidRDefault="004F7755">
          <w:pPr>
            <w:pStyle w:val="TM2"/>
            <w:tabs>
              <w:tab w:val="left" w:pos="720"/>
              <w:tab w:val="right" w:leader="dot" w:pos="9062"/>
            </w:tabs>
            <w:rPr>
              <w:rFonts w:eastAsiaTheme="minorEastAsia"/>
              <w:noProof/>
              <w:sz w:val="24"/>
              <w:szCs w:val="24"/>
              <w:lang w:eastAsia="fr-FR"/>
            </w:rPr>
          </w:pPr>
          <w:hyperlink w:anchor="_Toc220428530" w:history="1">
            <w:r w:rsidRPr="00213713">
              <w:rPr>
                <w:rStyle w:val="Lienhypertexte"/>
                <w:rFonts w:eastAsia="Aptos Display"/>
                <w:noProof/>
              </w:rPr>
              <w:t>1-</w:t>
            </w:r>
            <w:r>
              <w:rPr>
                <w:rFonts w:eastAsiaTheme="minorEastAsia"/>
                <w:noProof/>
                <w:sz w:val="24"/>
                <w:szCs w:val="24"/>
                <w:lang w:eastAsia="fr-FR"/>
              </w:rPr>
              <w:tab/>
            </w:r>
            <w:r w:rsidRPr="00213713">
              <w:rPr>
                <w:rStyle w:val="Lienhypertexte"/>
                <w:rFonts w:eastAsia="Aptos Display"/>
                <w:noProof/>
              </w:rPr>
              <w:t>Calcul de la note de l’indicateur d’exploitation</w:t>
            </w:r>
            <w:r>
              <w:rPr>
                <w:noProof/>
                <w:webHidden/>
              </w:rPr>
              <w:tab/>
            </w:r>
            <w:r>
              <w:rPr>
                <w:noProof/>
                <w:webHidden/>
              </w:rPr>
              <w:fldChar w:fldCharType="begin"/>
            </w:r>
            <w:r>
              <w:rPr>
                <w:noProof/>
                <w:webHidden/>
              </w:rPr>
              <w:instrText xml:space="preserve"> PAGEREF _Toc220428530 \h </w:instrText>
            </w:r>
            <w:r>
              <w:rPr>
                <w:noProof/>
                <w:webHidden/>
              </w:rPr>
            </w:r>
            <w:r>
              <w:rPr>
                <w:noProof/>
                <w:webHidden/>
              </w:rPr>
              <w:fldChar w:fldCharType="separate"/>
            </w:r>
            <w:r>
              <w:rPr>
                <w:noProof/>
                <w:webHidden/>
              </w:rPr>
              <w:t>9</w:t>
            </w:r>
            <w:r>
              <w:rPr>
                <w:noProof/>
                <w:webHidden/>
              </w:rPr>
              <w:fldChar w:fldCharType="end"/>
            </w:r>
          </w:hyperlink>
        </w:p>
        <w:p w14:paraId="65F05203" w14:textId="11482070" w:rsidR="004F7755" w:rsidRDefault="004F7755">
          <w:pPr>
            <w:pStyle w:val="TM2"/>
            <w:tabs>
              <w:tab w:val="left" w:pos="720"/>
              <w:tab w:val="right" w:leader="dot" w:pos="9062"/>
            </w:tabs>
            <w:rPr>
              <w:rFonts w:eastAsiaTheme="minorEastAsia"/>
              <w:noProof/>
              <w:sz w:val="24"/>
              <w:szCs w:val="24"/>
              <w:lang w:eastAsia="fr-FR"/>
            </w:rPr>
          </w:pPr>
          <w:hyperlink w:anchor="_Toc220428531" w:history="1">
            <w:r w:rsidRPr="00213713">
              <w:rPr>
                <w:rStyle w:val="Lienhypertexte"/>
                <w:noProof/>
              </w:rPr>
              <w:t>2-</w:t>
            </w:r>
            <w:r>
              <w:rPr>
                <w:rFonts w:eastAsiaTheme="minorEastAsia"/>
                <w:noProof/>
                <w:sz w:val="24"/>
                <w:szCs w:val="24"/>
                <w:lang w:eastAsia="fr-FR"/>
              </w:rPr>
              <w:tab/>
            </w:r>
            <w:r w:rsidRPr="00213713">
              <w:rPr>
                <w:rStyle w:val="Lienhypertexte"/>
                <w:noProof/>
              </w:rPr>
              <w:t>Création de la grille de notation</w:t>
            </w:r>
            <w:r>
              <w:rPr>
                <w:noProof/>
                <w:webHidden/>
              </w:rPr>
              <w:tab/>
            </w:r>
            <w:r>
              <w:rPr>
                <w:noProof/>
                <w:webHidden/>
              </w:rPr>
              <w:fldChar w:fldCharType="begin"/>
            </w:r>
            <w:r>
              <w:rPr>
                <w:noProof/>
                <w:webHidden/>
              </w:rPr>
              <w:instrText xml:space="preserve"> PAGEREF _Toc220428531 \h </w:instrText>
            </w:r>
            <w:r>
              <w:rPr>
                <w:noProof/>
                <w:webHidden/>
              </w:rPr>
            </w:r>
            <w:r>
              <w:rPr>
                <w:noProof/>
                <w:webHidden/>
              </w:rPr>
              <w:fldChar w:fldCharType="separate"/>
            </w:r>
            <w:r>
              <w:rPr>
                <w:noProof/>
                <w:webHidden/>
              </w:rPr>
              <w:t>10</w:t>
            </w:r>
            <w:r>
              <w:rPr>
                <w:noProof/>
                <w:webHidden/>
              </w:rPr>
              <w:fldChar w:fldCharType="end"/>
            </w:r>
          </w:hyperlink>
        </w:p>
        <w:p w14:paraId="4F873C8B" w14:textId="2E64203A" w:rsidR="004F7755" w:rsidRDefault="004F7755" w:rsidP="004F7755">
          <w:pPr>
            <w:pStyle w:val="TM1"/>
            <w:rPr>
              <w:rFonts w:eastAsiaTheme="minorEastAsia"/>
              <w:sz w:val="24"/>
              <w:szCs w:val="24"/>
              <w:lang w:eastAsia="fr-FR"/>
            </w:rPr>
          </w:pPr>
          <w:hyperlink w:anchor="_Toc220428532" w:history="1">
            <w:r w:rsidRPr="00213713">
              <w:rPr>
                <w:rStyle w:val="Lienhypertexte"/>
              </w:rPr>
              <w:t>Indicateur « Eau dans le sol »</w:t>
            </w:r>
            <w:r>
              <w:rPr>
                <w:webHidden/>
              </w:rPr>
              <w:tab/>
            </w:r>
            <w:r>
              <w:rPr>
                <w:webHidden/>
              </w:rPr>
              <w:fldChar w:fldCharType="begin"/>
            </w:r>
            <w:r>
              <w:rPr>
                <w:webHidden/>
              </w:rPr>
              <w:instrText xml:space="preserve"> PAGEREF _Toc220428532 \h </w:instrText>
            </w:r>
            <w:r>
              <w:rPr>
                <w:webHidden/>
              </w:rPr>
            </w:r>
            <w:r>
              <w:rPr>
                <w:webHidden/>
              </w:rPr>
              <w:fldChar w:fldCharType="separate"/>
            </w:r>
            <w:r>
              <w:rPr>
                <w:webHidden/>
              </w:rPr>
              <w:t>11</w:t>
            </w:r>
            <w:r>
              <w:rPr>
                <w:webHidden/>
              </w:rPr>
              <w:fldChar w:fldCharType="end"/>
            </w:r>
          </w:hyperlink>
        </w:p>
        <w:p w14:paraId="122A7937" w14:textId="47736BA1" w:rsidR="004F7755" w:rsidRDefault="004F7755">
          <w:pPr>
            <w:pStyle w:val="TM2"/>
            <w:tabs>
              <w:tab w:val="left" w:pos="720"/>
              <w:tab w:val="right" w:leader="dot" w:pos="9062"/>
            </w:tabs>
            <w:rPr>
              <w:rFonts w:eastAsiaTheme="minorEastAsia"/>
              <w:noProof/>
              <w:sz w:val="24"/>
              <w:szCs w:val="24"/>
              <w:lang w:eastAsia="fr-FR"/>
            </w:rPr>
          </w:pPr>
          <w:hyperlink w:anchor="_Toc220428533" w:history="1">
            <w:r w:rsidRPr="00213713">
              <w:rPr>
                <w:rStyle w:val="Lienhypertexte"/>
                <w:noProof/>
              </w:rPr>
              <w:t>1-</w:t>
            </w:r>
            <w:r>
              <w:rPr>
                <w:rFonts w:eastAsiaTheme="minorEastAsia"/>
                <w:noProof/>
                <w:sz w:val="24"/>
                <w:szCs w:val="24"/>
                <w:lang w:eastAsia="fr-FR"/>
              </w:rPr>
              <w:tab/>
            </w:r>
            <w:r w:rsidRPr="00213713">
              <w:rPr>
                <w:rStyle w:val="Lienhypertexte"/>
                <w:noProof/>
              </w:rPr>
              <w:t>Calcul de la note de l’indicateur d’exploitation</w:t>
            </w:r>
            <w:r>
              <w:rPr>
                <w:noProof/>
                <w:webHidden/>
              </w:rPr>
              <w:tab/>
            </w:r>
            <w:r>
              <w:rPr>
                <w:noProof/>
                <w:webHidden/>
              </w:rPr>
              <w:fldChar w:fldCharType="begin"/>
            </w:r>
            <w:r>
              <w:rPr>
                <w:noProof/>
                <w:webHidden/>
              </w:rPr>
              <w:instrText xml:space="preserve"> PAGEREF _Toc220428533 \h </w:instrText>
            </w:r>
            <w:r>
              <w:rPr>
                <w:noProof/>
                <w:webHidden/>
              </w:rPr>
            </w:r>
            <w:r>
              <w:rPr>
                <w:noProof/>
                <w:webHidden/>
              </w:rPr>
              <w:fldChar w:fldCharType="separate"/>
            </w:r>
            <w:r>
              <w:rPr>
                <w:noProof/>
                <w:webHidden/>
              </w:rPr>
              <w:t>11</w:t>
            </w:r>
            <w:r>
              <w:rPr>
                <w:noProof/>
                <w:webHidden/>
              </w:rPr>
              <w:fldChar w:fldCharType="end"/>
            </w:r>
          </w:hyperlink>
        </w:p>
        <w:p w14:paraId="0278E8DC" w14:textId="71A702EC" w:rsidR="004F7755" w:rsidRDefault="004F7755">
          <w:pPr>
            <w:pStyle w:val="TM2"/>
            <w:tabs>
              <w:tab w:val="left" w:pos="720"/>
              <w:tab w:val="right" w:leader="dot" w:pos="9062"/>
            </w:tabs>
            <w:rPr>
              <w:rFonts w:eastAsiaTheme="minorEastAsia"/>
              <w:noProof/>
              <w:sz w:val="24"/>
              <w:szCs w:val="24"/>
              <w:lang w:eastAsia="fr-FR"/>
            </w:rPr>
          </w:pPr>
          <w:hyperlink w:anchor="_Toc220428534" w:history="1">
            <w:r w:rsidRPr="00213713">
              <w:rPr>
                <w:rStyle w:val="Lienhypertexte"/>
                <w:noProof/>
              </w:rPr>
              <w:t>2-</w:t>
            </w:r>
            <w:r>
              <w:rPr>
                <w:rFonts w:eastAsiaTheme="minorEastAsia"/>
                <w:noProof/>
                <w:sz w:val="24"/>
                <w:szCs w:val="24"/>
                <w:lang w:eastAsia="fr-FR"/>
              </w:rPr>
              <w:tab/>
            </w:r>
            <w:r w:rsidRPr="00213713">
              <w:rPr>
                <w:rStyle w:val="Lienhypertexte"/>
                <w:noProof/>
              </w:rPr>
              <w:t>Création de la grille de notation</w:t>
            </w:r>
            <w:r>
              <w:rPr>
                <w:noProof/>
                <w:webHidden/>
              </w:rPr>
              <w:tab/>
            </w:r>
            <w:r>
              <w:rPr>
                <w:noProof/>
                <w:webHidden/>
              </w:rPr>
              <w:fldChar w:fldCharType="begin"/>
            </w:r>
            <w:r>
              <w:rPr>
                <w:noProof/>
                <w:webHidden/>
              </w:rPr>
              <w:instrText xml:space="preserve"> PAGEREF _Toc220428534 \h </w:instrText>
            </w:r>
            <w:r>
              <w:rPr>
                <w:noProof/>
                <w:webHidden/>
              </w:rPr>
            </w:r>
            <w:r>
              <w:rPr>
                <w:noProof/>
                <w:webHidden/>
              </w:rPr>
              <w:fldChar w:fldCharType="separate"/>
            </w:r>
            <w:r>
              <w:rPr>
                <w:noProof/>
                <w:webHidden/>
              </w:rPr>
              <w:t>13</w:t>
            </w:r>
            <w:r>
              <w:rPr>
                <w:noProof/>
                <w:webHidden/>
              </w:rPr>
              <w:fldChar w:fldCharType="end"/>
            </w:r>
          </w:hyperlink>
        </w:p>
        <w:p w14:paraId="7389E409" w14:textId="56E36E78" w:rsidR="004F7755" w:rsidRDefault="004F7755" w:rsidP="004F7755">
          <w:pPr>
            <w:pStyle w:val="TM1"/>
            <w:rPr>
              <w:rFonts w:eastAsiaTheme="minorEastAsia"/>
              <w:sz w:val="24"/>
              <w:szCs w:val="24"/>
              <w:lang w:eastAsia="fr-FR"/>
            </w:rPr>
          </w:pPr>
          <w:hyperlink w:anchor="_Toc220428535" w:history="1">
            <w:r w:rsidRPr="00213713">
              <w:rPr>
                <w:rStyle w:val="Lienhypertexte"/>
              </w:rPr>
              <w:t>Bonus collectif</w:t>
            </w:r>
            <w:r>
              <w:rPr>
                <w:webHidden/>
              </w:rPr>
              <w:tab/>
            </w:r>
            <w:r>
              <w:rPr>
                <w:webHidden/>
              </w:rPr>
              <w:fldChar w:fldCharType="begin"/>
            </w:r>
            <w:r>
              <w:rPr>
                <w:webHidden/>
              </w:rPr>
              <w:instrText xml:space="preserve"> PAGEREF _Toc220428535 \h </w:instrText>
            </w:r>
            <w:r>
              <w:rPr>
                <w:webHidden/>
              </w:rPr>
            </w:r>
            <w:r>
              <w:rPr>
                <w:webHidden/>
              </w:rPr>
              <w:fldChar w:fldCharType="separate"/>
            </w:r>
            <w:r>
              <w:rPr>
                <w:webHidden/>
              </w:rPr>
              <w:t>15</w:t>
            </w:r>
            <w:r>
              <w:rPr>
                <w:webHidden/>
              </w:rPr>
              <w:fldChar w:fldCharType="end"/>
            </w:r>
          </w:hyperlink>
        </w:p>
        <w:p w14:paraId="6C3FF6C0" w14:textId="0BFE1C3F" w:rsidR="00CB31B4" w:rsidRPr="00122DF2" w:rsidRDefault="00CB31B4">
          <w:r w:rsidRPr="00122DF2">
            <w:rPr>
              <w:b/>
              <w:bCs/>
            </w:rPr>
            <w:fldChar w:fldCharType="end"/>
          </w:r>
        </w:p>
      </w:sdtContent>
    </w:sdt>
    <w:p w14:paraId="43C7436A" w14:textId="071F79D0" w:rsidR="00626C29" w:rsidRPr="00122DF2" w:rsidRDefault="00626C29" w:rsidP="00626C29">
      <w:pPr>
        <w:pStyle w:val="Titre"/>
        <w:spacing w:after="300"/>
        <w:jc w:val="center"/>
        <w:rPr>
          <w:rFonts w:asciiTheme="minorHAnsi" w:hAnsiTheme="minorHAnsi"/>
          <w:color w:val="002060"/>
        </w:rPr>
      </w:pPr>
      <w:r w:rsidRPr="00122DF2">
        <w:rPr>
          <w:rFonts w:asciiTheme="minorHAnsi" w:eastAsia="Calibri" w:hAnsiTheme="minorHAnsi" w:cs="Calibri"/>
          <w:color w:val="002060"/>
          <w:sz w:val="52"/>
          <w:szCs w:val="52"/>
        </w:rPr>
        <w:lastRenderedPageBreak/>
        <w:t>FICHE INDICATEUR D’EXPLOITATION N°1</w:t>
      </w:r>
    </w:p>
    <w:p w14:paraId="09C62B4E" w14:textId="01C1E77D" w:rsidR="00CB31B4" w:rsidRPr="00122DF2" w:rsidRDefault="00CB31B4" w:rsidP="00626C29">
      <w:pPr>
        <w:pStyle w:val="Titre1"/>
        <w:rPr>
          <w:rFonts w:asciiTheme="minorHAnsi" w:hAnsiTheme="minorHAnsi"/>
        </w:rPr>
      </w:pPr>
      <w:bookmarkStart w:id="0" w:name="_Toc220428518"/>
      <w:r w:rsidRPr="00122DF2">
        <w:rPr>
          <w:rFonts w:asciiTheme="minorHAnsi" w:hAnsiTheme="minorHAnsi"/>
        </w:rPr>
        <w:t>Indicateur « sobriété en eau »</w:t>
      </w:r>
      <w:bookmarkEnd w:id="0"/>
    </w:p>
    <w:p w14:paraId="12780583" w14:textId="77777777" w:rsidR="00CB31B4" w:rsidRPr="00122DF2" w:rsidRDefault="00CB31B4" w:rsidP="00CB31B4">
      <w:pPr>
        <w:jc w:val="both"/>
      </w:pPr>
    </w:p>
    <w:p w14:paraId="1B393641" w14:textId="77777777" w:rsidR="00CB31B4" w:rsidRDefault="00CB31B4" w:rsidP="00CB31B4">
      <w:pPr>
        <w:jc w:val="both"/>
      </w:pPr>
      <w:r w:rsidRPr="00122DF2">
        <w:t xml:space="preserve">Cet indicateur vise à quantifier le volume d’eau consommé par les exploitations agricoles engagées dans un PSE poursuivant l’objectif de « sobriété en eau ». </w:t>
      </w:r>
    </w:p>
    <w:p w14:paraId="7CE310F5" w14:textId="77777777" w:rsidR="00122DF2" w:rsidRPr="00122DF2" w:rsidRDefault="00122DF2" w:rsidP="00CB31B4">
      <w:pPr>
        <w:jc w:val="both"/>
      </w:pPr>
    </w:p>
    <w:p w14:paraId="2E0E93CC" w14:textId="77777777" w:rsidR="00CB31B4" w:rsidRPr="00122DF2" w:rsidRDefault="00CB31B4" w:rsidP="00CB31B4">
      <w:pPr>
        <w:pStyle w:val="Titre2"/>
        <w:numPr>
          <w:ilvl w:val="0"/>
          <w:numId w:val="4"/>
        </w:numPr>
        <w:rPr>
          <w:rFonts w:asciiTheme="minorHAnsi" w:hAnsiTheme="minorHAnsi"/>
        </w:rPr>
      </w:pPr>
      <w:bookmarkStart w:id="1" w:name="_Toc220428519"/>
      <w:r w:rsidRPr="00122DF2">
        <w:rPr>
          <w:rFonts w:asciiTheme="minorHAnsi" w:hAnsiTheme="minorHAnsi"/>
        </w:rPr>
        <w:t>Données à collecter pour le diagnostic agricole du territoire</w:t>
      </w:r>
      <w:bookmarkEnd w:id="1"/>
      <w:r w:rsidRPr="00122DF2">
        <w:rPr>
          <w:rFonts w:asciiTheme="minorHAnsi" w:hAnsiTheme="minorHAnsi"/>
        </w:rPr>
        <w:t xml:space="preserve"> </w:t>
      </w:r>
    </w:p>
    <w:p w14:paraId="00D233FE" w14:textId="77777777" w:rsidR="00CB31B4" w:rsidRPr="00122DF2" w:rsidRDefault="00CB31B4" w:rsidP="00CB31B4">
      <w:pPr>
        <w:jc w:val="both"/>
      </w:pPr>
      <w:r w:rsidRPr="00122DF2">
        <w:t>Conformément à l’annexe 9 du règlement de l’AMI PSE, l’opérateur doit présenter dans son projet PSE un diagnostic agricole du territoire précisant pour chaque indicateur ciblé la moyenne et la médiane d’un échantillon d’exploitations représentant 30% des exploitations de la zone à enjeu.</w:t>
      </w:r>
    </w:p>
    <w:p w14:paraId="1B215398" w14:textId="77777777" w:rsidR="00CB31B4" w:rsidRPr="00122DF2" w:rsidRDefault="00CB31B4" w:rsidP="00CB31B4">
      <w:pPr>
        <w:jc w:val="both"/>
      </w:pPr>
      <w:r w:rsidRPr="00122DF2">
        <w:t>Pour calculer ces données pour l’indicateur « sobriété en eau », l’opérateur PSE doit pour chaque exploitation agricole de l’échantillon :</w:t>
      </w:r>
    </w:p>
    <w:p w14:paraId="6890B888" w14:textId="77777777" w:rsidR="00CB31B4" w:rsidRPr="00122DF2" w:rsidRDefault="00CB31B4" w:rsidP="00215E17">
      <w:pPr>
        <w:pStyle w:val="Listepuces2"/>
        <w:numPr>
          <w:ilvl w:val="0"/>
          <w:numId w:val="5"/>
        </w:numPr>
        <w:spacing w:after="0"/>
        <w:ind w:left="284" w:hanging="284"/>
        <w:jc w:val="both"/>
      </w:pPr>
      <w:r w:rsidRPr="00122DF2">
        <w:t>Récupérer les données de prélèvements en prenant en compte :</w:t>
      </w:r>
    </w:p>
    <w:p w14:paraId="1304356A" w14:textId="77777777" w:rsidR="00CB31B4" w:rsidRPr="00122DF2" w:rsidRDefault="00CB31B4" w:rsidP="00CB31B4">
      <w:pPr>
        <w:pStyle w:val="Listepuces3"/>
        <w:numPr>
          <w:ilvl w:val="0"/>
          <w:numId w:val="3"/>
        </w:numPr>
        <w:jc w:val="both"/>
      </w:pPr>
      <w:proofErr w:type="gramStart"/>
      <w:r w:rsidRPr="00122DF2">
        <w:t>les</w:t>
      </w:r>
      <w:proofErr w:type="gramEnd"/>
      <w:r w:rsidRPr="00122DF2">
        <w:t xml:space="preserve"> eaux issues de prélèvements privés (forage, source, rivière, …),</w:t>
      </w:r>
    </w:p>
    <w:p w14:paraId="2381EE97" w14:textId="77777777" w:rsidR="00CB31B4" w:rsidRPr="00122DF2" w:rsidRDefault="00CB31B4" w:rsidP="00CB31B4">
      <w:pPr>
        <w:pStyle w:val="Listepuces3"/>
        <w:numPr>
          <w:ilvl w:val="0"/>
          <w:numId w:val="3"/>
        </w:numPr>
        <w:jc w:val="both"/>
      </w:pPr>
      <w:r w:rsidRPr="00122DF2">
        <w:t>les eaux issues de la réutilisation (REUSE ou récupération),</w:t>
      </w:r>
    </w:p>
    <w:p w14:paraId="4AAACA7B" w14:textId="77777777" w:rsidR="00CB31B4" w:rsidRPr="00122DF2" w:rsidRDefault="00CB31B4" w:rsidP="00CB31B4">
      <w:pPr>
        <w:pStyle w:val="Listepuces3"/>
        <w:numPr>
          <w:ilvl w:val="0"/>
          <w:numId w:val="3"/>
        </w:numPr>
        <w:jc w:val="both"/>
      </w:pPr>
      <w:r w:rsidRPr="00122DF2">
        <w:t>les eaux issues du réseau AEP (adduction en eau potable),</w:t>
      </w:r>
    </w:p>
    <w:p w14:paraId="1526B04C" w14:textId="77777777" w:rsidR="00CB31B4" w:rsidRPr="00122DF2" w:rsidRDefault="00CB31B4" w:rsidP="00CB31B4">
      <w:pPr>
        <w:pStyle w:val="Listepuces3"/>
        <w:numPr>
          <w:ilvl w:val="0"/>
          <w:numId w:val="3"/>
        </w:numPr>
        <w:jc w:val="both"/>
      </w:pPr>
      <w:r w:rsidRPr="00122DF2">
        <w:t>les eaux issues d’un éventuel réseau d’eau brute (réseau collectif).</w:t>
      </w:r>
    </w:p>
    <w:p w14:paraId="003D37AC" w14:textId="77777777" w:rsidR="00CB31B4" w:rsidRPr="00122DF2" w:rsidRDefault="00CB31B4" w:rsidP="00CB31B4">
      <w:pPr>
        <w:pStyle w:val="Listepuces3"/>
        <w:numPr>
          <w:ilvl w:val="0"/>
          <w:numId w:val="0"/>
        </w:numPr>
        <w:jc w:val="both"/>
      </w:pPr>
      <w:r w:rsidRPr="00122DF2">
        <w:t>L’ensemble des prélèvements cités ci-dessus doivent être pris en compte quelle que soit l’origine de la ressource.</w:t>
      </w:r>
    </w:p>
    <w:p w14:paraId="15A23783" w14:textId="77777777" w:rsidR="00CB31B4" w:rsidRPr="00122DF2" w:rsidRDefault="00CB31B4" w:rsidP="00CB31B4">
      <w:pPr>
        <w:pStyle w:val="Listepuces2"/>
        <w:numPr>
          <w:ilvl w:val="0"/>
          <w:numId w:val="5"/>
        </w:numPr>
        <w:ind w:left="284" w:hanging="284"/>
        <w:jc w:val="both"/>
      </w:pPr>
      <w:r w:rsidRPr="00122DF2">
        <w:t>Identifier les surfaces irrigables et irriguées par type de culture.</w:t>
      </w:r>
    </w:p>
    <w:p w14:paraId="0B38693F" w14:textId="77777777" w:rsidR="00CB31B4" w:rsidRPr="00122DF2" w:rsidRDefault="00CB31B4" w:rsidP="00DD1F20">
      <w:pPr>
        <w:pStyle w:val="Listepuces2"/>
        <w:numPr>
          <w:ilvl w:val="0"/>
          <w:numId w:val="0"/>
        </w:numPr>
        <w:jc w:val="both"/>
      </w:pPr>
    </w:p>
    <w:p w14:paraId="0E2A4266" w14:textId="77777777" w:rsidR="00CB31B4" w:rsidRPr="00122DF2" w:rsidRDefault="00CB31B4" w:rsidP="00CB31B4">
      <w:pPr>
        <w:pStyle w:val="Listepuces2"/>
        <w:numPr>
          <w:ilvl w:val="0"/>
          <w:numId w:val="5"/>
        </w:numPr>
        <w:ind w:left="284" w:hanging="284"/>
        <w:jc w:val="both"/>
      </w:pPr>
      <w:r w:rsidRPr="00122DF2">
        <w:t>Calculer la moyenne annuelle des volumes d’eau consommés par ha et par type de culture.</w:t>
      </w:r>
    </w:p>
    <w:p w14:paraId="0641F27D" w14:textId="77777777" w:rsidR="00CB31B4" w:rsidRPr="00122DF2" w:rsidRDefault="00CB31B4" w:rsidP="00CB31B4">
      <w:pPr>
        <w:pStyle w:val="Listepuces2"/>
        <w:numPr>
          <w:ilvl w:val="0"/>
          <w:numId w:val="0"/>
        </w:numPr>
        <w:jc w:val="both"/>
      </w:pPr>
      <w:r w:rsidRPr="00122DF2">
        <w:t>Il est recommandé de calculer cette moyenne annuelle sur la base de la méthode de la moyenne olympique en utilisant les données sur les 5 dernières années et en excluant dans le calcul de la moyenne les deux années extrêmes (la pire et la meilleure année</w:t>
      </w:r>
      <w:proofErr w:type="gramStart"/>
      <w:r w:rsidRPr="00122DF2">
        <w:t>) .</w:t>
      </w:r>
      <w:proofErr w:type="gramEnd"/>
    </w:p>
    <w:p w14:paraId="2B005810" w14:textId="77777777" w:rsidR="00CB31B4" w:rsidRPr="00122DF2" w:rsidRDefault="00CB31B4" w:rsidP="00CB31B4">
      <w:pPr>
        <w:pStyle w:val="Listepuces2"/>
        <w:numPr>
          <w:ilvl w:val="0"/>
          <w:numId w:val="0"/>
        </w:numPr>
        <w:jc w:val="both"/>
      </w:pPr>
    </w:p>
    <w:p w14:paraId="473F2F8F" w14:textId="77777777" w:rsidR="00CB31B4" w:rsidRPr="00122DF2" w:rsidRDefault="00CB31B4" w:rsidP="00CB31B4">
      <w:pPr>
        <w:pStyle w:val="Listepuces2"/>
        <w:numPr>
          <w:ilvl w:val="0"/>
          <w:numId w:val="0"/>
        </w:numPr>
        <w:jc w:val="both"/>
      </w:pPr>
      <w:r w:rsidRPr="00122DF2">
        <w:t>Les données de prélèvements privés (forage, source, rivière, …) des irrigants redevables pourront être demandées auprès de l’agence de l’eau RMC et transmises après signature d’une convention d’utilisation des données.</w:t>
      </w:r>
    </w:p>
    <w:p w14:paraId="5E10614E" w14:textId="77777777" w:rsidR="00CB31B4" w:rsidRPr="00122DF2" w:rsidRDefault="00CB31B4" w:rsidP="00CB31B4">
      <w:pPr>
        <w:pStyle w:val="Listepuces2"/>
        <w:numPr>
          <w:ilvl w:val="0"/>
          <w:numId w:val="0"/>
        </w:numPr>
        <w:jc w:val="both"/>
      </w:pPr>
    </w:p>
    <w:p w14:paraId="3571DDCE" w14:textId="77777777" w:rsidR="00CB31B4" w:rsidRPr="00122DF2" w:rsidRDefault="00CB31B4" w:rsidP="00CB31B4">
      <w:pPr>
        <w:pStyle w:val="Listepuces2"/>
        <w:numPr>
          <w:ilvl w:val="0"/>
          <w:numId w:val="0"/>
        </w:numPr>
        <w:jc w:val="both"/>
      </w:pPr>
      <w:r w:rsidRPr="00122DF2">
        <w:t>En l’absence de compteurs d’eau sur chaque exploitation, notamment dans le cas d’irrigation gravitaire, un indicateur alternatif pourra être proposé par le porteur du projet (exemple durée des tours d’eau, surface irriguée, ...)</w:t>
      </w:r>
    </w:p>
    <w:p w14:paraId="5EDA132F" w14:textId="77777777" w:rsidR="00CB31B4" w:rsidRPr="00122DF2" w:rsidRDefault="00CB31B4" w:rsidP="00CB31B4">
      <w:pPr>
        <w:pStyle w:val="Titre2"/>
        <w:numPr>
          <w:ilvl w:val="0"/>
          <w:numId w:val="4"/>
        </w:numPr>
        <w:rPr>
          <w:rFonts w:asciiTheme="minorHAnsi" w:hAnsiTheme="minorHAnsi"/>
        </w:rPr>
      </w:pPr>
      <w:bookmarkStart w:id="2" w:name="_Toc220428520"/>
      <w:r w:rsidRPr="00122DF2">
        <w:rPr>
          <w:rFonts w:asciiTheme="minorHAnsi" w:hAnsiTheme="minorHAnsi"/>
        </w:rPr>
        <w:t>Calcul de la note de l’indicateur d’exploitation</w:t>
      </w:r>
      <w:bookmarkEnd w:id="2"/>
    </w:p>
    <w:p w14:paraId="0F3BF6BF" w14:textId="77777777" w:rsidR="00CB31B4" w:rsidRPr="00122DF2" w:rsidRDefault="00CB31B4" w:rsidP="00CB31B4">
      <w:pPr>
        <w:spacing w:after="0"/>
        <w:jc w:val="both"/>
      </w:pPr>
      <w:r w:rsidRPr="00122DF2">
        <w:t>La valeur intrinsèque de l’indicateur « sobriété en eau » est défini de la façon suivante :</w:t>
      </w:r>
    </w:p>
    <w:p w14:paraId="0A75BD74" w14:textId="77777777" w:rsidR="00CB31B4" w:rsidRPr="00122DF2" w:rsidRDefault="00CB31B4" w:rsidP="00CB31B4">
      <w:pPr>
        <w:spacing w:after="0"/>
        <w:jc w:val="both"/>
      </w:pPr>
    </w:p>
    <w:p w14:paraId="13E81107" w14:textId="7441D03A" w:rsidR="00CB31B4" w:rsidRPr="00122DF2" w:rsidRDefault="00F44A3E" w:rsidP="00CB31B4">
      <w:pPr>
        <w:pStyle w:val="Listepuces2"/>
        <w:numPr>
          <w:ilvl w:val="0"/>
          <w:numId w:val="6"/>
        </w:numPr>
        <w:spacing w:after="0"/>
        <w:ind w:left="284" w:hanging="284"/>
        <w:jc w:val="both"/>
      </w:pPr>
      <w:r w:rsidRPr="00122DF2">
        <w:lastRenderedPageBreak/>
        <w:t>Sur</w:t>
      </w:r>
      <w:r w:rsidR="00CB31B4" w:rsidRPr="00122DF2">
        <w:t xml:space="preserve"> </w:t>
      </w:r>
      <w:r w:rsidR="00CB31B4" w:rsidRPr="00122DF2">
        <w:rPr>
          <w:b/>
          <w:bCs/>
        </w:rPr>
        <w:t>chaque parcelle (ou îlot PAC) irriguée</w:t>
      </w:r>
      <w:r w:rsidR="00CB31B4" w:rsidRPr="00122DF2">
        <w:t xml:space="preserve"> et par type de culture, il faut calculer le rapport suivant : </w:t>
      </w:r>
    </w:p>
    <w:p w14:paraId="48E1F9FB" w14:textId="77777777" w:rsidR="00CB31B4" w:rsidRPr="00122DF2" w:rsidRDefault="002841D0" w:rsidP="00CB31B4">
      <w:pPr>
        <w:spacing w:after="0"/>
        <w:jc w:val="both"/>
        <w:rPr>
          <w:sz w:val="44"/>
          <w:szCs w:val="44"/>
        </w:rPr>
      </w:pPr>
      <m:oMathPara>
        <m:oMath>
          <m:f>
            <m:fPr>
              <m:ctrlPr>
                <w:rPr>
                  <w:rFonts w:ascii="Cambria Math" w:hAnsi="Cambria Math"/>
                  <w:b/>
                  <w:bCs/>
                  <w:i/>
                </w:rPr>
              </m:ctrlPr>
            </m:fPr>
            <m:num>
              <m:r>
                <m:rPr>
                  <m:sty m:val="b"/>
                </m:rPr>
                <w:rPr>
                  <w:rFonts w:ascii="Cambria Math" w:hAnsi="Cambria Math"/>
                </w:rPr>
                <m:t>Volume</m:t>
              </m:r>
              <m:r>
                <m:rPr>
                  <m:sty m:val="b"/>
                </m:rPr>
                <w:rPr>
                  <w:rFonts w:ascii="Cambria Math" w:hAnsi="Cambria Math"/>
                </w:rPr>
                <m:t xml:space="preserve"> </m:t>
              </m:r>
              <m:r>
                <m:rPr>
                  <m:sty m:val="b"/>
                </m:rPr>
                <w:rPr>
                  <w:rFonts w:ascii="Cambria Math" w:hAnsi="Cambria Math"/>
                </w:rPr>
                <m:t>d</m:t>
              </m:r>
              <m:r>
                <m:rPr>
                  <m:sty m:val="b"/>
                </m:rPr>
                <w:rPr>
                  <w:rFonts w:ascii="Cambria Math" w:hAnsi="Cambria Math"/>
                </w:rPr>
                <m:t>'</m:t>
              </m:r>
              <m:r>
                <m:rPr>
                  <m:sty m:val="b"/>
                </m:rPr>
                <w:rPr>
                  <w:rFonts w:ascii="Cambria Math" w:hAnsi="Cambria Math"/>
                </w:rPr>
                <m:t>eau</m:t>
              </m:r>
              <m:r>
                <m:rPr>
                  <m:sty m:val="b"/>
                </m:rPr>
                <w:rPr>
                  <w:rFonts w:ascii="Cambria Math" w:hAnsi="Cambria Math"/>
                </w:rPr>
                <m:t xml:space="preserve"> </m:t>
              </m:r>
              <m:r>
                <m:rPr>
                  <m:sty m:val="b"/>
                </m:rPr>
                <w:rPr>
                  <w:rFonts w:ascii="Cambria Math" w:hAnsi="Cambria Math"/>
                </w:rPr>
                <m:t>utilis</m:t>
              </m:r>
              <m:r>
                <m:rPr>
                  <m:sty m:val="b"/>
                </m:rPr>
                <w:rPr>
                  <w:rFonts w:ascii="Cambria Math" w:hAnsi="Cambria Math"/>
                </w:rPr>
                <m:t>é</m:t>
              </m:r>
              <m:r>
                <m:rPr>
                  <m:sty m:val="b"/>
                </m:rPr>
                <w:rPr>
                  <w:rFonts w:ascii="Cambria Math" w:hAnsi="Cambria Math"/>
                </w:rPr>
                <m:t>e</m:t>
              </m:r>
              <m:r>
                <m:rPr>
                  <m:sty m:val="b"/>
                </m:rPr>
                <w:rPr>
                  <w:rFonts w:ascii="Cambria Math" w:hAnsi="Cambria Math"/>
                </w:rPr>
                <m:t xml:space="preserve"> (</m:t>
              </m:r>
              <m:r>
                <m:rPr>
                  <m:sty m:val="b"/>
                </m:rPr>
                <w:rPr>
                  <w:rFonts w:ascii="Cambria Math" w:hAnsi="Cambria Math"/>
                </w:rPr>
                <m:t>m</m:t>
              </m:r>
              <m:r>
                <m:rPr>
                  <m:sty m:val="b"/>
                </m:rPr>
                <w:rPr>
                  <w:rFonts w:ascii="Cambria Math" w:hAnsi="Cambria Math"/>
                </w:rPr>
                <m:t xml:space="preserve">³) </m:t>
              </m:r>
              <m:r>
                <m:rPr>
                  <m:sty m:val="bi"/>
                </m:rPr>
                <w:rPr>
                  <w:rFonts w:ascii="Cambria Math" w:hAnsi="Cambria Math"/>
                </w:rPr>
                <m:t xml:space="preserve"> </m:t>
              </m:r>
            </m:num>
            <m:den>
              <m:r>
                <m:rPr>
                  <m:sty m:val="b"/>
                </m:rPr>
                <w:rPr>
                  <w:rFonts w:ascii="Cambria Math" w:hAnsi="Cambria Math"/>
                </w:rPr>
                <m:t>Surface</m:t>
              </m:r>
              <m:r>
                <m:rPr>
                  <m:sty m:val="b"/>
                </m:rPr>
                <w:rPr>
                  <w:rFonts w:ascii="Cambria Math" w:hAnsi="Cambria Math"/>
                </w:rPr>
                <m:t xml:space="preserve"> </m:t>
              </m:r>
              <m:r>
                <m:rPr>
                  <m:sty m:val="b"/>
                </m:rPr>
                <w:rPr>
                  <w:rFonts w:ascii="Cambria Math" w:hAnsi="Cambria Math"/>
                </w:rPr>
                <m:t>irrigu</m:t>
              </m:r>
              <m:r>
                <m:rPr>
                  <m:sty m:val="b"/>
                </m:rPr>
                <w:rPr>
                  <w:rFonts w:ascii="Cambria Math" w:hAnsi="Cambria Math"/>
                </w:rPr>
                <m:t>é</m:t>
              </m:r>
              <m:r>
                <m:rPr>
                  <m:sty m:val="b"/>
                </m:rPr>
                <w:rPr>
                  <w:rFonts w:ascii="Cambria Math" w:hAnsi="Cambria Math"/>
                </w:rPr>
                <m:t>e</m:t>
              </m:r>
              <m:r>
                <m:rPr>
                  <m:sty m:val="b"/>
                </m:rPr>
                <w:rPr>
                  <w:rFonts w:ascii="Cambria Math" w:hAnsi="Cambria Math"/>
                </w:rPr>
                <m:t xml:space="preserve"> (</m:t>
              </m:r>
              <m:r>
                <m:rPr>
                  <m:sty m:val="b"/>
                </m:rPr>
                <w:rPr>
                  <w:rFonts w:ascii="Cambria Math" w:hAnsi="Cambria Math"/>
                </w:rPr>
                <m:t>ha</m:t>
              </m:r>
              <m:r>
                <m:rPr>
                  <m:sty m:val="b"/>
                </m:rPr>
                <w:rPr>
                  <w:rFonts w:ascii="Cambria Math" w:hAnsi="Cambria Math"/>
                </w:rPr>
                <m:t>)</m:t>
              </m:r>
            </m:den>
          </m:f>
        </m:oMath>
      </m:oMathPara>
    </w:p>
    <w:p w14:paraId="203FF41E" w14:textId="77777777" w:rsidR="00CB31B4" w:rsidRPr="00122DF2" w:rsidRDefault="00CB31B4" w:rsidP="00CB31B4">
      <w:pPr>
        <w:spacing w:after="0"/>
        <w:jc w:val="both"/>
      </w:pPr>
    </w:p>
    <w:p w14:paraId="5084E5E2" w14:textId="4D69A1A8" w:rsidR="00CB31B4" w:rsidRPr="00122DF2" w:rsidRDefault="00CB31B4" w:rsidP="00CB31B4">
      <w:pPr>
        <w:pStyle w:val="Listepuces2"/>
        <w:numPr>
          <w:ilvl w:val="0"/>
          <w:numId w:val="6"/>
        </w:numPr>
        <w:ind w:left="284" w:hanging="284"/>
        <w:jc w:val="both"/>
      </w:pPr>
      <w:proofErr w:type="gramStart"/>
      <w:r w:rsidRPr="00122DF2">
        <w:t>ensuite</w:t>
      </w:r>
      <w:proofErr w:type="gramEnd"/>
      <w:r w:rsidRPr="00122DF2">
        <w:t xml:space="preserve">, il faut calculer la </w:t>
      </w:r>
      <w:r w:rsidRPr="00122DF2">
        <w:rPr>
          <w:b/>
          <w:bCs/>
        </w:rPr>
        <w:t>moyenne pondérée</w:t>
      </w:r>
      <w:r w:rsidRPr="00122DF2">
        <w:t xml:space="preserve"> à l’échelle de l’exploitation, par type de culture: </w:t>
      </w:r>
    </w:p>
    <w:p w14:paraId="1CF55D9E" w14:textId="77777777" w:rsidR="00CB31B4" w:rsidRPr="00122DF2" w:rsidRDefault="002841D0" w:rsidP="00CB31B4">
      <w:pPr>
        <w:spacing w:after="0"/>
        <w:jc w:val="both"/>
        <w:rPr>
          <w:iCs/>
          <w:sz w:val="44"/>
          <w:szCs w:val="44"/>
        </w:rPr>
      </w:pPr>
      <m:oMathPara>
        <m:oMath>
          <m:f>
            <m:fPr>
              <m:ctrlPr>
                <w:rPr>
                  <w:rFonts w:ascii="Cambria Math" w:hAnsi="Cambria Math"/>
                  <w:b/>
                  <w:bCs/>
                  <w:iCs/>
                </w:rPr>
              </m:ctrlPr>
            </m:fPr>
            <m:num>
              <m:r>
                <m:rPr>
                  <m:sty m:val="b"/>
                </m:rPr>
                <w:rPr>
                  <w:rFonts w:ascii="Cambria Math" w:hAnsi="Cambria Math"/>
                </w:rPr>
                <m:t>Vol</m:t>
              </m:r>
              <m:r>
                <m:rPr>
                  <m:sty m:val="b"/>
                </m:rPr>
                <w:rPr>
                  <w:rFonts w:ascii="Cambria Math" w:hAnsi="Cambria Math"/>
                </w:rPr>
                <m:t xml:space="preserve"> </m:t>
              </m:r>
              <m:r>
                <m:rPr>
                  <m:sty m:val="b"/>
                </m:rPr>
                <w:rPr>
                  <w:rFonts w:ascii="Cambria Math" w:hAnsi="Cambria Math"/>
                  <w:vertAlign w:val="subscript"/>
                </w:rPr>
                <m:t>eau</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rPr>
                <m:t xml:space="preserve"> </m:t>
              </m:r>
              <m:r>
                <m:rPr>
                  <m:sty m:val="b"/>
                </m:rPr>
                <w:rPr>
                  <w:rFonts w:ascii="Cambria Math" w:hAnsi="Cambria Math"/>
                  <w:vertAlign w:val="subscript"/>
                </w:rPr>
                <m:t>irrig</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Vol</m:t>
              </m:r>
              <m:r>
                <m:rPr>
                  <m:sty m:val="b"/>
                </m:rPr>
                <w:rPr>
                  <w:rFonts w:ascii="Cambria Math" w:hAnsi="Cambria Math"/>
                </w:rPr>
                <m:t xml:space="preserve"> </m:t>
              </m:r>
              <m:r>
                <m:rPr>
                  <m:sty m:val="b"/>
                </m:rPr>
                <w:rPr>
                  <w:rFonts w:ascii="Cambria Math" w:hAnsi="Cambria Math"/>
                  <w:vertAlign w:val="subscript"/>
                </w:rPr>
                <m:t>eau</m:t>
              </m:r>
              <m:r>
                <m:rPr>
                  <m:sty m:val="b"/>
                </m:rPr>
                <w:rPr>
                  <w:rFonts w:ascii="Cambria Math" w:hAnsi="Cambria Math"/>
                </w:rPr>
                <m:t xml:space="preserve"> </m:t>
              </m:r>
              <m:r>
                <m:rPr>
                  <m:sty m:val="b"/>
                </m:rPr>
                <w:rPr>
                  <w:rFonts w:ascii="Cambria Math" w:hAnsi="Cambria Math"/>
                </w:rPr>
                <m:t>B</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irrig</m:t>
              </m:r>
              <m:r>
                <m:rPr>
                  <m:sty m:val="b"/>
                </m:rPr>
                <w:rPr>
                  <w:rFonts w:ascii="Cambria Math" w:hAnsi="Cambria Math"/>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Vol</m:t>
              </m:r>
              <m:r>
                <m:rPr>
                  <m:sty m:val="b"/>
                </m:rPr>
                <w:rPr>
                  <w:rFonts w:ascii="Cambria Math" w:hAnsi="Cambria Math"/>
                </w:rPr>
                <m:t xml:space="preserve"> </m:t>
              </m:r>
              <m:r>
                <m:rPr>
                  <m:sty m:val="b"/>
                </m:rPr>
                <w:rPr>
                  <w:rFonts w:ascii="Cambria Math" w:hAnsi="Cambria Math"/>
                  <w:vertAlign w:val="subscript"/>
                </w:rPr>
                <m:t>eau</m:t>
              </m:r>
              <m:r>
                <m:rPr>
                  <m:sty m:val="b"/>
                </m:rPr>
                <w:rPr>
                  <w:rFonts w:ascii="Cambria Math" w:hAnsi="Cambria Math"/>
                </w:rPr>
                <m:t xml:space="preserve"> </m:t>
              </m:r>
              <m:r>
                <m:rPr>
                  <m:sty m:val="b"/>
                </m:rPr>
                <w:rPr>
                  <w:rFonts w:ascii="Cambria Math" w:hAnsi="Cambria Math"/>
                </w:rPr>
                <m:t>C</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irrig</m:t>
              </m:r>
              <m:r>
                <m:rPr>
                  <m:sty m:val="b"/>
                </m:rPr>
                <w:rPr>
                  <w:rFonts w:ascii="Cambria Math" w:hAnsi="Cambria Math"/>
                </w:rPr>
                <m:t xml:space="preserve"> </m:t>
              </m:r>
              <m:r>
                <m:rPr>
                  <m:sty m:val="b"/>
                </m:rPr>
                <w:rPr>
                  <w:rFonts w:ascii="Cambria Math" w:hAnsi="Cambria Math"/>
                </w:rPr>
                <m:t>C</m:t>
              </m:r>
              <m:r>
                <m:rPr>
                  <m:sty m:val="b"/>
                </m:rPr>
                <w:rPr>
                  <w:rFonts w:ascii="Cambria Math" w:hAnsi="Cambria Math"/>
                </w:rPr>
                <m:t xml:space="preserve"> + …. </m:t>
              </m:r>
            </m:num>
            <m:den>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sz w:val="20"/>
                  <w:szCs w:val="20"/>
                  <w:vertAlign w:val="subscript"/>
                </w:rPr>
                <m:t>irrig</m:t>
              </m:r>
              <m:r>
                <m:rPr>
                  <m:sty m:val="b"/>
                </m:rPr>
                <w:rPr>
                  <w:rFonts w:ascii="Cambria Math" w:hAnsi="Cambria Math"/>
                </w:rPr>
                <m:t xml:space="preserve"> </m:t>
              </m:r>
              <m:r>
                <m:rPr>
                  <m:sty m:val="b"/>
                </m:rPr>
                <w:rPr>
                  <w:rFonts w:ascii="Cambria Math" w:hAnsi="Cambria Math"/>
                </w:rPr>
                <m:t>TOTALE</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irrig</m:t>
              </m:r>
              <m:r>
                <m:rPr>
                  <m:sty m:val="b"/>
                </m:rPr>
                <w:rPr>
                  <w:rFonts w:ascii="Cambria Math" w:hAnsi="Cambria Math"/>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irrig</m:t>
              </m:r>
              <m:r>
                <m:rPr>
                  <m:sty m:val="b"/>
                </m:rPr>
                <w:rPr>
                  <w:rFonts w:ascii="Cambria Math" w:hAnsi="Cambria Math"/>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irrig</m:t>
              </m:r>
              <m:r>
                <m:rPr>
                  <m:sty m:val="b"/>
                </m:rPr>
                <w:rPr>
                  <w:rFonts w:ascii="Cambria Math" w:hAnsi="Cambria Math"/>
                </w:rPr>
                <m:t xml:space="preserve"> </m:t>
              </m:r>
              <m:r>
                <m:rPr>
                  <m:sty m:val="b"/>
                </m:rPr>
                <w:rPr>
                  <w:rFonts w:ascii="Cambria Math" w:hAnsi="Cambria Math"/>
                </w:rPr>
                <m:t>C</m:t>
              </m:r>
              <m:r>
                <m:rPr>
                  <m:sty m:val="b"/>
                </m:rPr>
                <w:rPr>
                  <w:rFonts w:ascii="Cambria Math" w:hAnsi="Cambria Math"/>
                </w:rPr>
                <m:t xml:space="preserve"> + …)</m:t>
              </m:r>
            </m:den>
          </m:f>
        </m:oMath>
      </m:oMathPara>
    </w:p>
    <w:p w14:paraId="0C154574" w14:textId="77777777" w:rsidR="00CB31B4" w:rsidRPr="00122DF2" w:rsidRDefault="00CB31B4" w:rsidP="00CB31B4">
      <w:pPr>
        <w:jc w:val="both"/>
      </w:pPr>
    </w:p>
    <w:p w14:paraId="15B50584" w14:textId="77777777" w:rsidR="00CB31B4" w:rsidRPr="00122DF2" w:rsidRDefault="00CB31B4" w:rsidP="006A7F19">
      <w:pPr>
        <w:pStyle w:val="Listepuces2"/>
        <w:spacing w:after="0"/>
        <w:ind w:left="714" w:hanging="357"/>
        <w:jc w:val="both"/>
      </w:pPr>
      <w:r w:rsidRPr="00122DF2">
        <w:t xml:space="preserve">La </w:t>
      </w:r>
      <w:r w:rsidRPr="00122DF2">
        <w:rPr>
          <w:b/>
          <w:bCs/>
        </w:rPr>
        <w:t>note de l’exploitation</w:t>
      </w:r>
      <w:r w:rsidRPr="00122DF2">
        <w:t xml:space="preserve"> est obtenue en se référant à la grille de notation de l’indicateur « sobriété en eau » du territoire élaborée par l’opérateur (Cf. point 3 ci-dessous), qui fait correspondre la valeur intrinsèque de l’indicateur avec une note.</w:t>
      </w:r>
    </w:p>
    <w:p w14:paraId="5CA15797" w14:textId="77777777" w:rsidR="00CB31B4" w:rsidRPr="00122DF2" w:rsidRDefault="00CB31B4" w:rsidP="006A7F19">
      <w:pPr>
        <w:spacing w:line="276" w:lineRule="auto"/>
        <w:ind w:left="708"/>
        <w:jc w:val="both"/>
      </w:pPr>
      <w:r w:rsidRPr="00122DF2">
        <w:t>Si des exploitations agricoles présentent des types de cultures à la gestion de l’irrigation très différente, la note finale de l‘exploitation est obtenue en calculant la moyenne pondérée des notes obtenues sur chacune des surfaces pour les différents types de culture.</w:t>
      </w:r>
    </w:p>
    <w:p w14:paraId="00F466F4" w14:textId="77777777" w:rsidR="00CB31B4" w:rsidRPr="00122DF2" w:rsidRDefault="00CB31B4" w:rsidP="00CB31B4">
      <w:pPr>
        <w:pStyle w:val="Listepuces2"/>
        <w:jc w:val="both"/>
      </w:pPr>
      <w:r w:rsidRPr="00122DF2">
        <w:t>Pour l’</w:t>
      </w:r>
      <w:r w:rsidRPr="00122DF2">
        <w:rPr>
          <w:b/>
          <w:bCs/>
        </w:rPr>
        <w:t>année de référence</w:t>
      </w:r>
      <w:r w:rsidRPr="00122DF2">
        <w:t xml:space="preserve"> (année 0), la valeur intrinsèque de l’indicateur, permettant de déterminer la note de l’exploitation, peut être calculée selon la méthode de la moyenne olympique.</w:t>
      </w:r>
    </w:p>
    <w:p w14:paraId="3B1E57F6" w14:textId="77777777" w:rsidR="00CB31B4" w:rsidRPr="00122DF2" w:rsidRDefault="00CB31B4" w:rsidP="006A7F19">
      <w:pPr>
        <w:pStyle w:val="Listepuces2"/>
        <w:numPr>
          <w:ilvl w:val="0"/>
          <w:numId w:val="0"/>
        </w:numPr>
        <w:ind w:left="708"/>
        <w:jc w:val="both"/>
      </w:pPr>
      <w:r w:rsidRPr="00122DF2">
        <w:t>Pour les exploitations qui n’ont pas pu faire l’objet de mesure de la consommation d’eau avant l’engagement dans le projet de PSE, la valeur intrinsèque de l’indicateur pour l’année 0, peut-être une donnée de référence locale.</w:t>
      </w:r>
    </w:p>
    <w:p w14:paraId="17197B5E" w14:textId="77777777" w:rsidR="00CB31B4" w:rsidRPr="00122DF2" w:rsidRDefault="00CB31B4" w:rsidP="00CB31B4">
      <w:pPr>
        <w:pStyle w:val="Titre2"/>
        <w:numPr>
          <w:ilvl w:val="0"/>
          <w:numId w:val="4"/>
        </w:numPr>
        <w:rPr>
          <w:rFonts w:asciiTheme="minorHAnsi" w:hAnsiTheme="minorHAnsi"/>
        </w:rPr>
      </w:pPr>
      <w:bookmarkStart w:id="3" w:name="_Toc220428521"/>
      <w:r w:rsidRPr="00122DF2">
        <w:rPr>
          <w:rFonts w:asciiTheme="minorHAnsi" w:hAnsiTheme="minorHAnsi"/>
        </w:rPr>
        <w:t>Création de la grille de notation</w:t>
      </w:r>
      <w:bookmarkEnd w:id="3"/>
    </w:p>
    <w:p w14:paraId="26F6533F" w14:textId="77777777" w:rsidR="00CB31B4" w:rsidRPr="00122DF2" w:rsidRDefault="00CB31B4" w:rsidP="00CB31B4">
      <w:pPr>
        <w:jc w:val="both"/>
      </w:pPr>
      <w:r w:rsidRPr="00122DF2">
        <w:t>Sur un territoire présentant des types de cultures à la gestion de l’irrigation très différente (exemple viticulture et maraichage), il est souhaitable de créer plusieurs grilles de notation en fonction de ces types de culture.</w:t>
      </w:r>
    </w:p>
    <w:p w14:paraId="52E45481" w14:textId="77777777" w:rsidR="00CB31B4" w:rsidRPr="00122DF2" w:rsidRDefault="00CB31B4" w:rsidP="00CB31B4">
      <w:pPr>
        <w:jc w:val="both"/>
      </w:pPr>
      <w:r w:rsidRPr="00122DF2">
        <w:t xml:space="preserve">La note minimale de la grille de notation (0) correspond à la moyenne ou la médiane du volume d’eau consommé/ha issue du diagnostic agricole territorial pour les types de cultures concernés (Cf point 1 – ci-dessus). </w:t>
      </w:r>
    </w:p>
    <w:p w14:paraId="1C8AB0AF" w14:textId="77777777" w:rsidR="00CB31B4" w:rsidRPr="00122DF2" w:rsidRDefault="00CB31B4" w:rsidP="00CB31B4">
      <w:pPr>
        <w:jc w:val="both"/>
      </w:pPr>
      <w:r w:rsidRPr="00122DF2">
        <w:t>La note maximale de la grille de notation (10) correspond à un volume d’eau consommé de 0 m</w:t>
      </w:r>
      <w:r w:rsidRPr="00122DF2">
        <w:rPr>
          <w:vertAlign w:val="superscript"/>
        </w:rPr>
        <w:t>3</w:t>
      </w:r>
      <w:r w:rsidRPr="00122DF2">
        <w:t>. En maraîchage, cette note maximale peut être accordée pour un volume d’eau consommé &gt; 0 et correspondant au service maximum apporté pour ce type de culture en fonction des conditions pédoclimatiques locales.</w:t>
      </w:r>
    </w:p>
    <w:p w14:paraId="0FA8D88F" w14:textId="77777777" w:rsidR="00CB31B4" w:rsidRPr="00122DF2" w:rsidRDefault="00CB31B4" w:rsidP="00CB31B4">
      <w:pPr>
        <w:jc w:val="both"/>
      </w:pPr>
      <w:r w:rsidRPr="00122DF2">
        <w:t>Une échelle de notation linéaire n’est pas obligatoire, afin de favoriser par exemple certains seuils d’efforts.</w:t>
      </w:r>
    </w:p>
    <w:p w14:paraId="5B889527" w14:textId="77777777" w:rsidR="00CB31B4" w:rsidRPr="00122DF2" w:rsidRDefault="00CB31B4" w:rsidP="00CB31B4">
      <w:pPr>
        <w:jc w:val="both"/>
      </w:pPr>
      <w:r w:rsidRPr="00122DF2">
        <w:t>Exemple de grille de notation (source : PSE 1 du PNR Sainte Baume)</w:t>
      </w:r>
    </w:p>
    <w:p w14:paraId="21CEE3A5" w14:textId="77777777" w:rsidR="00CB31B4" w:rsidRPr="00122DF2" w:rsidRDefault="00CB31B4" w:rsidP="00CB31B4">
      <w:r w:rsidRPr="00122DF2">
        <w:rPr>
          <w:noProof/>
        </w:rPr>
        <w:lastRenderedPageBreak/>
        <w:drawing>
          <wp:inline distT="0" distB="0" distL="0" distR="0" wp14:anchorId="2C8E872C" wp14:editId="3E9B57B1">
            <wp:extent cx="5486400" cy="2415419"/>
            <wp:effectExtent l="0" t="0" r="0" b="4445"/>
            <wp:docPr id="32752957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29578" name="Image 1" descr="Une image contenant texte, capture d’écran, nombre, Police&#10;&#10;Le contenu généré par l’IA peut être incorrect."/>
                    <pic:cNvPicPr/>
                  </pic:nvPicPr>
                  <pic:blipFill>
                    <a:blip r:embed="rId12"/>
                    <a:stretch>
                      <a:fillRect/>
                    </a:stretch>
                  </pic:blipFill>
                  <pic:spPr>
                    <a:xfrm>
                      <a:off x="0" y="0"/>
                      <a:ext cx="5486400" cy="2415419"/>
                    </a:xfrm>
                    <a:prstGeom prst="rect">
                      <a:avLst/>
                    </a:prstGeom>
                  </pic:spPr>
                </pic:pic>
              </a:graphicData>
            </a:graphic>
          </wp:inline>
        </w:drawing>
      </w:r>
    </w:p>
    <w:p w14:paraId="18FFE8B1" w14:textId="77777777" w:rsidR="00CB31B4" w:rsidRPr="00122DF2" w:rsidRDefault="00CB31B4" w:rsidP="00CB31B4"/>
    <w:p w14:paraId="1055E206" w14:textId="687FE9D4" w:rsidR="00CB31B4" w:rsidRPr="00122DF2" w:rsidRDefault="00CB31B4">
      <w:r w:rsidRPr="00122DF2">
        <w:br w:type="page"/>
      </w:r>
    </w:p>
    <w:p w14:paraId="2D944F6B" w14:textId="68811AD7" w:rsidR="00122DF2" w:rsidRPr="00122DF2" w:rsidRDefault="00122DF2" w:rsidP="00122DF2">
      <w:pPr>
        <w:pStyle w:val="Titre"/>
        <w:spacing w:after="300"/>
        <w:jc w:val="center"/>
        <w:rPr>
          <w:rFonts w:asciiTheme="minorHAnsi" w:hAnsiTheme="minorHAnsi"/>
          <w:color w:val="002060"/>
        </w:rPr>
      </w:pPr>
      <w:bookmarkStart w:id="4" w:name="_Hlk216682132"/>
      <w:bookmarkEnd w:id="4"/>
      <w:r w:rsidRPr="00122DF2">
        <w:rPr>
          <w:rFonts w:asciiTheme="minorHAnsi" w:eastAsia="Calibri" w:hAnsiTheme="minorHAnsi" w:cs="Calibri"/>
          <w:color w:val="002060"/>
          <w:sz w:val="52"/>
          <w:szCs w:val="52"/>
        </w:rPr>
        <w:lastRenderedPageBreak/>
        <w:t>FICHE INDICATEUR D’EXPLOITATION N°</w:t>
      </w:r>
      <w:r>
        <w:rPr>
          <w:rFonts w:asciiTheme="minorHAnsi" w:eastAsia="Calibri" w:hAnsiTheme="minorHAnsi" w:cs="Calibri"/>
          <w:color w:val="002060"/>
          <w:sz w:val="52"/>
          <w:szCs w:val="52"/>
        </w:rPr>
        <w:t>2</w:t>
      </w:r>
    </w:p>
    <w:p w14:paraId="5008DB71" w14:textId="77777777" w:rsidR="00CB31B4" w:rsidRPr="00122DF2" w:rsidRDefault="00CB31B4" w:rsidP="00626C29">
      <w:pPr>
        <w:pStyle w:val="Titre1"/>
        <w:rPr>
          <w:rFonts w:asciiTheme="minorHAnsi" w:hAnsiTheme="minorHAnsi"/>
        </w:rPr>
      </w:pPr>
      <w:bookmarkStart w:id="5" w:name="_Toc220428522"/>
      <w:r w:rsidRPr="00122DF2">
        <w:rPr>
          <w:rFonts w:asciiTheme="minorHAnsi" w:hAnsiTheme="minorHAnsi"/>
        </w:rPr>
        <w:t>Indicateur « Qualité de l’eau »</w:t>
      </w:r>
      <w:bookmarkEnd w:id="5"/>
    </w:p>
    <w:p w14:paraId="2108A2F4" w14:textId="77777777" w:rsidR="00CB31B4" w:rsidRPr="00122DF2" w:rsidRDefault="00CB31B4" w:rsidP="00CB31B4">
      <w:pPr>
        <w:jc w:val="both"/>
      </w:pPr>
    </w:p>
    <w:p w14:paraId="63602E13" w14:textId="77777777" w:rsidR="00CB31B4" w:rsidRDefault="00CB31B4" w:rsidP="00CB31B4">
      <w:pPr>
        <w:jc w:val="both"/>
      </w:pPr>
      <w:r w:rsidRPr="00122DF2">
        <w:t xml:space="preserve">Cet indicateur vise à calculer l’indice de fréquence de traitement herbicide (IFT </w:t>
      </w:r>
      <w:r w:rsidRPr="00122DF2">
        <w:rPr>
          <w:vertAlign w:val="subscript"/>
        </w:rPr>
        <w:t>herbicides</w:t>
      </w:r>
      <w:r w:rsidRPr="00122DF2">
        <w:t>) des exploitations agricoles engagées dans un PSE poursuivant l’objectif de « qualité de l’eau ».</w:t>
      </w:r>
    </w:p>
    <w:p w14:paraId="7BD47B05" w14:textId="77777777" w:rsidR="00122DF2" w:rsidRPr="00122DF2" w:rsidRDefault="00122DF2" w:rsidP="00CB31B4">
      <w:pPr>
        <w:jc w:val="both"/>
      </w:pPr>
    </w:p>
    <w:p w14:paraId="21807324" w14:textId="77777777" w:rsidR="00CB31B4" w:rsidRPr="00122DF2" w:rsidRDefault="00CB31B4" w:rsidP="00CB31B4">
      <w:pPr>
        <w:pStyle w:val="Titre2"/>
        <w:rPr>
          <w:rFonts w:asciiTheme="minorHAnsi" w:hAnsiTheme="minorHAnsi"/>
        </w:rPr>
      </w:pPr>
      <w:bookmarkStart w:id="6" w:name="_Toc220428523"/>
      <w:r w:rsidRPr="00122DF2">
        <w:rPr>
          <w:rFonts w:asciiTheme="minorHAnsi" w:hAnsiTheme="minorHAnsi"/>
        </w:rPr>
        <w:t>Calcul de la note de l’indicateur d’exploitation</w:t>
      </w:r>
      <w:bookmarkEnd w:id="6"/>
    </w:p>
    <w:p w14:paraId="1483E888" w14:textId="77777777" w:rsidR="00CB31B4" w:rsidRPr="00122DF2" w:rsidRDefault="00CB31B4" w:rsidP="00CB31B4">
      <w:pPr>
        <w:jc w:val="both"/>
      </w:pPr>
      <w:r w:rsidRPr="00122DF2">
        <w:t xml:space="preserve">L’indicateur portant sur la baisse d’IFT </w:t>
      </w:r>
      <w:r w:rsidRPr="00122DF2">
        <w:rPr>
          <w:vertAlign w:val="subscript"/>
        </w:rPr>
        <w:t>herbicides</w:t>
      </w:r>
      <w:r w:rsidRPr="00122DF2">
        <w:t xml:space="preserve"> permet d’évaluer les bénéfices environnementaux pour :</w:t>
      </w:r>
    </w:p>
    <w:p w14:paraId="237C5DA2" w14:textId="77777777" w:rsidR="00CB31B4" w:rsidRPr="00122DF2" w:rsidRDefault="00CB31B4" w:rsidP="00CB31B4">
      <w:pPr>
        <w:pStyle w:val="Paragraphedeliste"/>
        <w:numPr>
          <w:ilvl w:val="0"/>
          <w:numId w:val="8"/>
        </w:numPr>
        <w:jc w:val="both"/>
      </w:pPr>
      <w:r w:rsidRPr="00122DF2">
        <w:t>la réduction de la pollution de l’eau et l’amélioration de la qualité de l’eau potable,</w:t>
      </w:r>
    </w:p>
    <w:p w14:paraId="7520DA7A" w14:textId="77777777" w:rsidR="00CB31B4" w:rsidRPr="00122DF2" w:rsidRDefault="00CB31B4" w:rsidP="00CB31B4">
      <w:pPr>
        <w:pStyle w:val="Paragraphedeliste"/>
        <w:numPr>
          <w:ilvl w:val="0"/>
          <w:numId w:val="8"/>
        </w:numPr>
        <w:jc w:val="both"/>
      </w:pPr>
      <w:r w:rsidRPr="00122DF2">
        <w:t>mais également la réduction de la pollution des sols,</w:t>
      </w:r>
    </w:p>
    <w:p w14:paraId="086A773B" w14:textId="77777777" w:rsidR="00CB31B4" w:rsidRPr="00122DF2" w:rsidRDefault="00CB31B4" w:rsidP="00CB31B4">
      <w:pPr>
        <w:pStyle w:val="Paragraphedeliste"/>
        <w:numPr>
          <w:ilvl w:val="0"/>
          <w:numId w:val="8"/>
        </w:numPr>
        <w:jc w:val="both"/>
      </w:pPr>
      <w:r w:rsidRPr="00122DF2">
        <w:t>et la préservation de la biodiversité (auxiliaires, pollinisateurs, faune sauvage).</w:t>
      </w:r>
    </w:p>
    <w:p w14:paraId="776CBE1D" w14:textId="77777777" w:rsidR="00CB31B4" w:rsidRPr="00122DF2" w:rsidRDefault="00CB31B4" w:rsidP="00CB31B4">
      <w:pPr>
        <w:jc w:val="both"/>
      </w:pPr>
      <w:r w:rsidRPr="00122DF2">
        <w:t>Le</w:t>
      </w:r>
      <w:r w:rsidRPr="00122DF2">
        <w:rPr>
          <w:rFonts w:cs="Segoe UI Emoji"/>
        </w:rPr>
        <w:t xml:space="preserve"> paiement de service environnemental basé sur cet indicateur permet à l’agriculteur de c</w:t>
      </w:r>
      <w:r w:rsidRPr="00122DF2">
        <w:t>ompenser les risques ou surcoûts liés à la baisse des herbicides.</w:t>
      </w:r>
    </w:p>
    <w:p w14:paraId="21C65AC5" w14:textId="77777777" w:rsidR="00CB31B4" w:rsidRPr="00122DF2" w:rsidRDefault="00CB31B4" w:rsidP="00CB31B4">
      <w:pPr>
        <w:spacing w:after="200" w:line="276" w:lineRule="auto"/>
        <w:jc w:val="both"/>
      </w:pPr>
      <w:r w:rsidRPr="00122DF2">
        <w:t xml:space="preserve">Un guide méthodologique pour le calcul de l’IFT est disponible sur le site du ministère de l’agriculture : </w:t>
      </w:r>
      <w:hyperlink r:id="rId13" w:history="1">
        <w:r w:rsidRPr="00122DF2">
          <w:rPr>
            <w:rStyle w:val="Lienhypertexte"/>
          </w:rPr>
          <w:t>Indicateur de Fréquence de Traitements</w:t>
        </w:r>
      </w:hyperlink>
      <w:r w:rsidRPr="00122DF2">
        <w:t xml:space="preserve"> ainsi qu’un atelier de calcul : </w:t>
      </w:r>
      <w:hyperlink r:id="rId14" w:history="1">
        <w:r w:rsidRPr="00122DF2">
          <w:rPr>
            <w:rStyle w:val="Lienhypertexte"/>
          </w:rPr>
          <w:t>Atelier de calcul - IFT - Indicateur de Fréquence de Traitements phytopharmaceutiques (agriculture.gouv.fr)</w:t>
        </w:r>
      </w:hyperlink>
      <w:r w:rsidRPr="00122DF2">
        <w:t xml:space="preserve">. Une foire aux questions est également disponible : </w:t>
      </w:r>
      <w:hyperlink r:id="rId15" w:history="1">
        <w:r w:rsidRPr="00122DF2">
          <w:rPr>
            <w:rStyle w:val="Lienhypertexte"/>
          </w:rPr>
          <w:t>https://alim.agriculture.gouv.fr/ift/faq/dose-reference</w:t>
        </w:r>
      </w:hyperlink>
      <w:r w:rsidRPr="00122DF2">
        <w:t>.</w:t>
      </w:r>
    </w:p>
    <w:p w14:paraId="5194F156" w14:textId="77777777" w:rsidR="00CB31B4" w:rsidRPr="00122DF2" w:rsidRDefault="00CB31B4" w:rsidP="00CB31B4">
      <w:pPr>
        <w:spacing w:after="200" w:line="276" w:lineRule="auto"/>
        <w:jc w:val="both"/>
      </w:pPr>
      <w:r w:rsidRPr="00122DF2">
        <w:t>Le présent document vise à compléter ces éléments sur certains points spécifiques aux PSE.</w:t>
      </w:r>
    </w:p>
    <w:p w14:paraId="18D1BBDA" w14:textId="77777777" w:rsidR="00CB31B4" w:rsidRPr="00122DF2" w:rsidRDefault="00CB31B4" w:rsidP="00CB31B4">
      <w:pPr>
        <w:spacing w:after="0" w:line="276" w:lineRule="auto"/>
        <w:jc w:val="both"/>
      </w:pPr>
      <w:r w:rsidRPr="00122DF2">
        <w:t xml:space="preserve">La valeur intrinsèque de l’indicateur « qualité de l’eau » est défini de la façon suivante : </w:t>
      </w:r>
    </w:p>
    <w:p w14:paraId="41204AAD" w14:textId="77777777" w:rsidR="00CB31B4" w:rsidRPr="00122DF2" w:rsidRDefault="00CB31B4" w:rsidP="00CB31B4">
      <w:pPr>
        <w:spacing w:after="0" w:line="276" w:lineRule="auto"/>
        <w:jc w:val="both"/>
      </w:pPr>
    </w:p>
    <w:p w14:paraId="0EDD9655" w14:textId="77777777" w:rsidR="00CB31B4" w:rsidRPr="00122DF2" w:rsidRDefault="00CB31B4" w:rsidP="00CB31B4">
      <w:pPr>
        <w:spacing w:after="0" w:line="276" w:lineRule="auto"/>
        <w:jc w:val="both"/>
      </w:pPr>
      <w:r w:rsidRPr="00122DF2">
        <w:t xml:space="preserve">A – sur </w:t>
      </w:r>
      <w:r w:rsidRPr="00122DF2">
        <w:rPr>
          <w:b/>
          <w:bCs/>
        </w:rPr>
        <w:t>chaque parcelle cultivée</w:t>
      </w:r>
      <w:r w:rsidRPr="00122DF2">
        <w:t xml:space="preserve"> </w:t>
      </w:r>
      <w:r w:rsidRPr="00122DF2">
        <w:rPr>
          <w:b/>
          <w:bCs/>
        </w:rPr>
        <w:t xml:space="preserve">(ou îlot PAC) </w:t>
      </w:r>
      <w:r w:rsidRPr="00122DF2">
        <w:t xml:space="preserve">de l’exploitation en dehors des prairies temporaires et permanentes, il faut calculer l’IFT </w:t>
      </w:r>
      <w:r w:rsidRPr="00122DF2">
        <w:rPr>
          <w:vertAlign w:val="subscript"/>
        </w:rPr>
        <w:t>herbicides</w:t>
      </w:r>
      <w:r w:rsidRPr="00122DF2">
        <w:t xml:space="preserve"> en appliquant la formule suivante : </w:t>
      </w:r>
    </w:p>
    <w:p w14:paraId="65DCF94B" w14:textId="77777777" w:rsidR="00CB31B4" w:rsidRPr="00122DF2" w:rsidRDefault="00CB31B4" w:rsidP="00CB31B4">
      <w:pPr>
        <w:spacing w:after="0" w:line="276" w:lineRule="auto"/>
        <w:jc w:val="both"/>
      </w:pPr>
    </w:p>
    <w:p w14:paraId="695497D9" w14:textId="77777777" w:rsidR="00CB31B4" w:rsidRPr="00122DF2" w:rsidRDefault="00CB31B4" w:rsidP="00CB31B4">
      <w:pPr>
        <w:spacing w:after="0"/>
        <w:jc w:val="center"/>
        <w:rPr>
          <w:rFonts w:eastAsiaTheme="minorEastAsia"/>
          <w:b/>
          <w:bCs/>
          <w:i/>
        </w:rPr>
      </w:pPr>
      <w:r w:rsidRPr="00122DF2">
        <w:rPr>
          <w:sz w:val="40"/>
          <w:szCs w:val="40"/>
        </w:rPr>
        <w:t>∑</w:t>
      </w:r>
      <w:r w:rsidRPr="00122DF2">
        <w:t xml:space="preserve"> </w:t>
      </w:r>
      <w:r w:rsidRPr="00122DF2">
        <w:rPr>
          <w:sz w:val="32"/>
          <w:szCs w:val="32"/>
        </w:rPr>
        <w:t xml:space="preserve">( </w:t>
      </w:r>
      <m:oMath>
        <m:f>
          <m:fPr>
            <m:ctrlPr>
              <w:rPr>
                <w:rFonts w:ascii="Cambria Math" w:hAnsi="Cambria Math"/>
                <w:b/>
                <w:bCs/>
                <w:i/>
                <w:sz w:val="28"/>
                <w:szCs w:val="28"/>
              </w:rPr>
            </m:ctrlPr>
          </m:fPr>
          <m:num>
            <m:r>
              <m:rPr>
                <m:sty m:val="b"/>
              </m:rPr>
              <w:rPr>
                <w:rFonts w:ascii="Cambria Math" w:hAnsi="Cambria Math"/>
                <w:sz w:val="28"/>
                <w:szCs w:val="28"/>
              </w:rPr>
              <m:t>Dose appliquée</m:t>
            </m:r>
          </m:num>
          <m:den>
            <m:r>
              <m:rPr>
                <m:sty m:val="b"/>
              </m:rPr>
              <w:rPr>
                <w:rFonts w:ascii="Cambria Math" w:hAnsi="Cambria Math"/>
                <w:sz w:val="28"/>
                <w:szCs w:val="28"/>
              </w:rPr>
              <m:t>Dose de référence</m:t>
            </m:r>
          </m:den>
        </m:f>
        <m:r>
          <m:rPr>
            <m:sty m:val="bi"/>
          </m:rPr>
          <w:rPr>
            <w:rFonts w:ascii="Cambria Math" w:hAnsi="Cambria Math"/>
            <w:sz w:val="28"/>
            <w:szCs w:val="28"/>
          </w:rPr>
          <m:t xml:space="preserve"> X</m:t>
        </m:r>
      </m:oMath>
      <w:r w:rsidRPr="00122DF2">
        <w:rPr>
          <w:rFonts w:eastAsiaTheme="minorEastAsia"/>
          <w:b/>
          <w:bCs/>
          <w:i/>
          <w:sz w:val="28"/>
          <w:szCs w:val="28"/>
        </w:rPr>
        <w:t xml:space="preserve">  </w:t>
      </w:r>
      <m:oMath>
        <m:f>
          <m:fPr>
            <m:ctrlPr>
              <w:rPr>
                <w:rFonts w:ascii="Cambria Math" w:hAnsi="Cambria Math"/>
                <w:b/>
                <w:bCs/>
                <w:i/>
                <w:sz w:val="28"/>
                <w:szCs w:val="28"/>
              </w:rPr>
            </m:ctrlPr>
          </m:fPr>
          <m:num>
            <m:r>
              <m:rPr>
                <m:sty m:val="b"/>
              </m:rPr>
              <w:rPr>
                <w:rFonts w:ascii="Cambria Math" w:hAnsi="Cambria Math"/>
                <w:sz w:val="28"/>
                <w:szCs w:val="28"/>
              </w:rPr>
              <m:t xml:space="preserve">Surface </m:t>
            </m:r>
            <m:r>
              <m:rPr>
                <m:sty m:val="b"/>
              </m:rPr>
              <w:rPr>
                <w:rFonts w:ascii="Cambria Math" w:hAnsi="Cambria Math"/>
                <w:sz w:val="28"/>
                <w:szCs w:val="28"/>
                <w:lang w:val="en-US"/>
              </w:rPr>
              <m:t>trait</m:t>
            </m:r>
            <m:r>
              <m:rPr>
                <m:sty m:val="b"/>
              </m:rPr>
              <w:rPr>
                <w:rFonts w:ascii="Cambria Math" w:hAnsi="Cambria Math"/>
                <w:sz w:val="28"/>
                <w:szCs w:val="28"/>
              </w:rPr>
              <m:t>é</m:t>
            </m:r>
            <m:r>
              <m:rPr>
                <m:sty m:val="b"/>
              </m:rPr>
              <w:rPr>
                <w:rFonts w:ascii="Cambria Math" w:hAnsi="Cambria Math"/>
                <w:sz w:val="28"/>
                <w:szCs w:val="28"/>
                <w:lang w:val="en-US"/>
              </w:rPr>
              <m:t>e</m:t>
            </m:r>
          </m:num>
          <m:den>
            <m:r>
              <m:rPr>
                <m:sty m:val="b"/>
              </m:rPr>
              <w:rPr>
                <w:rFonts w:ascii="Cambria Math" w:hAnsi="Cambria Math"/>
                <w:sz w:val="28"/>
                <w:szCs w:val="28"/>
              </w:rPr>
              <m:t xml:space="preserve">Surface </m:t>
            </m:r>
            <m:r>
              <m:rPr>
                <m:sty m:val="b"/>
              </m:rPr>
              <w:rPr>
                <w:rFonts w:ascii="Cambria Math" w:hAnsi="Cambria Math"/>
                <w:sz w:val="28"/>
                <w:szCs w:val="28"/>
                <w:lang w:val="en-US"/>
              </w:rPr>
              <m:t>totale</m:t>
            </m:r>
          </m:den>
        </m:f>
      </m:oMath>
      <w:r w:rsidRPr="00122DF2">
        <w:rPr>
          <w:rFonts w:eastAsiaTheme="minorEastAsia"/>
          <w:i/>
          <w:sz w:val="28"/>
          <w:szCs w:val="28"/>
        </w:rPr>
        <w:t xml:space="preserve"> </w:t>
      </w:r>
      <w:r w:rsidRPr="00122DF2">
        <w:rPr>
          <w:rFonts w:eastAsiaTheme="minorEastAsia"/>
          <w:iCs/>
          <w:sz w:val="32"/>
          <w:szCs w:val="32"/>
        </w:rPr>
        <w:t>)</w:t>
      </w:r>
    </w:p>
    <w:p w14:paraId="6D52455C" w14:textId="77777777" w:rsidR="00CB31B4" w:rsidRPr="00122DF2" w:rsidRDefault="00CB31B4" w:rsidP="00CB31B4">
      <w:pPr>
        <w:jc w:val="both"/>
        <w:rPr>
          <w:sz w:val="44"/>
          <w:szCs w:val="44"/>
        </w:rPr>
      </w:pPr>
      <w:r w:rsidRPr="00122DF2">
        <w:t>Ces données sont issues d’éléments déclaratifs de l’exploitant agricole (registres de traitements, fiches de parcelles, tableau récapitulatif de calcul de l’IFT), pouvant être complétés de factures d’achat de produit et de suivi des stocks.</w:t>
      </w:r>
    </w:p>
    <w:p w14:paraId="083BB8FC" w14:textId="77777777" w:rsidR="00CB31B4" w:rsidRPr="00122DF2" w:rsidRDefault="00CB31B4" w:rsidP="00CB31B4">
      <w:pPr>
        <w:pStyle w:val="Listepuces2"/>
        <w:jc w:val="both"/>
      </w:pPr>
      <w:r w:rsidRPr="00122DF2">
        <w:t xml:space="preserve">B - ensuite, il faut calculer la </w:t>
      </w:r>
      <w:r w:rsidRPr="00122DF2">
        <w:rPr>
          <w:b/>
          <w:bCs/>
        </w:rPr>
        <w:t>moyenne pondérée</w:t>
      </w:r>
      <w:r w:rsidRPr="00122DF2">
        <w:t xml:space="preserve"> de l’IFT </w:t>
      </w:r>
      <w:r w:rsidRPr="00122DF2">
        <w:rPr>
          <w:vertAlign w:val="subscript"/>
        </w:rPr>
        <w:t>herbicides</w:t>
      </w:r>
      <w:r w:rsidRPr="00122DF2">
        <w:t xml:space="preserve"> à l’échelle de l’exploitation excluant les prairies temporaires et permanentes : </w:t>
      </w:r>
    </w:p>
    <w:p w14:paraId="76345803" w14:textId="77777777" w:rsidR="00CB31B4" w:rsidRPr="00122DF2" w:rsidRDefault="002841D0" w:rsidP="00CB31B4">
      <w:pPr>
        <w:spacing w:after="0"/>
        <w:jc w:val="both"/>
        <w:rPr>
          <w:iCs/>
          <w:sz w:val="44"/>
          <w:szCs w:val="44"/>
        </w:rPr>
      </w:pPr>
      <m:oMathPara>
        <m:oMath>
          <m:f>
            <m:fPr>
              <m:ctrlPr>
                <w:rPr>
                  <w:rFonts w:ascii="Cambria Math" w:hAnsi="Cambria Math"/>
                  <w:b/>
                  <w:bCs/>
                  <w:iCs/>
                </w:rPr>
              </m:ctrlPr>
            </m:fPr>
            <m:num>
              <m:r>
                <m:rPr>
                  <m:sty m:val="b"/>
                </m:rPr>
                <w:rPr>
                  <w:rFonts w:ascii="Cambria Math" w:hAnsi="Cambria Math"/>
                </w:rPr>
                <m:t>IFT</m:t>
              </m:r>
              <m:r>
                <m:rPr>
                  <m:sty m:val="b"/>
                </m:rPr>
                <w:rPr>
                  <w:rFonts w:ascii="Cambria Math" w:hAnsi="Cambria Math"/>
                </w:rPr>
                <m:t xml:space="preserve"> </m:t>
              </m:r>
              <m:r>
                <m:rPr>
                  <m:sty m:val="b"/>
                </m:rPr>
                <w:rPr>
                  <w:rFonts w:ascii="Cambria Math" w:hAnsi="Cambria Math"/>
                </w:rPr>
                <m:t>herbicides</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IFT</m:t>
              </m:r>
              <m:r>
                <m:rPr>
                  <m:sty m:val="b"/>
                </m:rPr>
                <w:rPr>
                  <w:rFonts w:ascii="Cambria Math" w:hAnsi="Cambria Math"/>
                </w:rPr>
                <m:t xml:space="preserve"> </m:t>
              </m:r>
              <m:r>
                <m:rPr>
                  <m:sty m:val="b"/>
                </m:rPr>
                <w:rPr>
                  <w:rFonts w:ascii="Cambria Math" w:hAnsi="Cambria Math"/>
                </w:rPr>
                <m:t>herbicides</m:t>
              </m:r>
              <m:r>
                <m:rPr>
                  <m:sty m:val="b"/>
                </m:rPr>
                <w:rPr>
                  <w:rFonts w:ascii="Cambria Math" w:hAnsi="Cambria Math"/>
                  <w:vertAlign w:val="subscript"/>
                </w:rPr>
                <m:t xml:space="preserve"> </m:t>
              </m:r>
              <m:r>
                <m:rPr>
                  <m:sty m:val="b"/>
                </m:rPr>
                <w:rPr>
                  <w:rFonts w:ascii="Cambria Math" w:hAnsi="Cambria Math"/>
                </w:rPr>
                <m:t>B</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IFT</m:t>
              </m:r>
              <m:r>
                <m:rPr>
                  <m:sty m:val="b"/>
                </m:rPr>
                <w:rPr>
                  <w:rFonts w:ascii="Cambria Math" w:hAnsi="Cambria Math"/>
                </w:rPr>
                <m:t xml:space="preserve"> </m:t>
              </m:r>
              <m:r>
                <m:rPr>
                  <m:sty m:val="b"/>
                </m:rPr>
                <w:rPr>
                  <w:rFonts w:ascii="Cambria Math" w:hAnsi="Cambria Math"/>
                </w:rPr>
                <m:t>herbicides</m:t>
              </m:r>
              <m:r>
                <m:rPr>
                  <m:sty m:val="b"/>
                </m:rPr>
                <w:rPr>
                  <w:rFonts w:ascii="Cambria Math" w:hAnsi="Cambria Math"/>
                  <w:vertAlign w:val="subscript"/>
                </w:rPr>
                <m:t xml:space="preserve"> </m:t>
              </m:r>
              <m:r>
                <m:rPr>
                  <m:sty m:val="b"/>
                </m:rPr>
                <w:rPr>
                  <w:rFonts w:ascii="Cambria Math" w:hAnsi="Cambria Math"/>
                </w:rPr>
                <m:t>C</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C</m:t>
              </m:r>
              <m:r>
                <m:rPr>
                  <m:sty m:val="b"/>
                </m:rPr>
                <w:rPr>
                  <w:rFonts w:ascii="Cambria Math" w:hAnsi="Cambria Math"/>
                </w:rPr>
                <m:t xml:space="preserve"> + …. </m:t>
              </m:r>
            </m:num>
            <m:den>
              <m:r>
                <m:rPr>
                  <m:sty m:val="b"/>
                </m:rPr>
                <w:rPr>
                  <w:rFonts w:ascii="Cambria Math" w:hAnsi="Cambria Math"/>
                </w:rPr>
                <m:t>SAU</m:t>
              </m:r>
              <m:r>
                <m:rPr>
                  <m:sty m:val="b"/>
                </m:rPr>
                <w:rPr>
                  <w:rFonts w:ascii="Cambria Math" w:hAnsi="Cambria Math"/>
                </w:rPr>
                <m:t xml:space="preserve"> </m:t>
              </m:r>
              <m:r>
                <m:rPr>
                  <m:sty m:val="b"/>
                </m:rPr>
                <w:rPr>
                  <w:rFonts w:ascii="Cambria Math" w:hAnsi="Cambria Math"/>
                </w:rPr>
                <m:t>TOTALE</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C</m:t>
              </m:r>
              <m:r>
                <m:rPr>
                  <m:sty m:val="b"/>
                </m:rPr>
                <w:rPr>
                  <w:rFonts w:ascii="Cambria Math" w:hAnsi="Cambria Math"/>
                </w:rPr>
                <m:t xml:space="preserve"> + …)</m:t>
              </m:r>
            </m:den>
          </m:f>
        </m:oMath>
      </m:oMathPara>
    </w:p>
    <w:p w14:paraId="51215B55" w14:textId="77777777" w:rsidR="00122DF2" w:rsidRDefault="00122DF2" w:rsidP="00CB31B4">
      <w:pPr>
        <w:spacing w:after="200" w:line="276" w:lineRule="auto"/>
        <w:jc w:val="both"/>
      </w:pPr>
    </w:p>
    <w:p w14:paraId="07B9A99E" w14:textId="77777777" w:rsidR="00CB31B4" w:rsidRPr="00122DF2" w:rsidRDefault="00CB31B4" w:rsidP="00CB31B4">
      <w:pPr>
        <w:spacing w:after="200" w:line="276" w:lineRule="auto"/>
        <w:jc w:val="both"/>
      </w:pPr>
      <w:r w:rsidRPr="00122DF2">
        <w:lastRenderedPageBreak/>
        <w:t xml:space="preserve">C – enfin il faut appliquer le </w:t>
      </w:r>
      <w:r w:rsidRPr="00122DF2">
        <w:rPr>
          <w:b/>
          <w:bCs/>
        </w:rPr>
        <w:t>rapport</w:t>
      </w:r>
      <w:r w:rsidRPr="00122DF2">
        <w:t xml:space="preserve"> suivant : </w:t>
      </w:r>
    </w:p>
    <w:p w14:paraId="78ACCECA" w14:textId="77777777" w:rsidR="00CB31B4" w:rsidRPr="00122DF2" w:rsidRDefault="002841D0" w:rsidP="00CB31B4">
      <w:pPr>
        <w:spacing w:after="0"/>
        <w:jc w:val="both"/>
        <w:rPr>
          <w:sz w:val="44"/>
          <w:szCs w:val="44"/>
        </w:rPr>
      </w:pPr>
      <m:oMathPara>
        <m:oMath>
          <m:f>
            <m:fPr>
              <m:ctrlPr>
                <w:rPr>
                  <w:rFonts w:ascii="Cambria Math" w:hAnsi="Cambria Math"/>
                  <w:b/>
                  <w:bCs/>
                  <w:i/>
                </w:rPr>
              </m:ctrlPr>
            </m:fPr>
            <m:num>
              <m:r>
                <m:rPr>
                  <m:sty m:val="b"/>
                </m:rPr>
                <w:rPr>
                  <w:rFonts w:ascii="Cambria Math" w:hAnsi="Cambria Math"/>
                </w:rPr>
                <m:t>IFT</m:t>
              </m:r>
              <m:r>
                <m:rPr>
                  <m:sty m:val="b"/>
                </m:rPr>
                <w:rPr>
                  <w:rFonts w:ascii="Cambria Math" w:hAnsi="Cambria Math"/>
                </w:rPr>
                <m:t xml:space="preserve"> </m:t>
              </m:r>
              <m:r>
                <m:rPr>
                  <m:sty m:val="b"/>
                </m:rPr>
                <w:rPr>
                  <w:rFonts w:ascii="Cambria Math" w:hAnsi="Cambria Math"/>
                </w:rPr>
                <m:t>herbicides</m:t>
              </m:r>
              <m:r>
                <m:rPr>
                  <m:sty m:val="b"/>
                </m:rPr>
                <w:rPr>
                  <w:rFonts w:ascii="Cambria Math" w:hAnsi="Cambria Math"/>
                </w:rPr>
                <m:t xml:space="preserve"> </m:t>
              </m:r>
              <m:r>
                <m:rPr>
                  <m:sty m:val="b"/>
                </m:rPr>
                <w:rPr>
                  <w:rFonts w:ascii="Cambria Math" w:hAnsi="Cambria Math"/>
                </w:rPr>
                <m:t>de</m:t>
              </m:r>
              <m:r>
                <m:rPr>
                  <m:sty m:val="b"/>
                </m:rPr>
                <w:rPr>
                  <w:rFonts w:ascii="Cambria Math" w:hAnsi="Cambria Math"/>
                </w:rPr>
                <m:t xml:space="preserve"> </m:t>
              </m:r>
              <m:r>
                <m:rPr>
                  <m:sty m:val="b"/>
                </m:rPr>
                <w:rPr>
                  <w:rFonts w:ascii="Cambria Math" w:hAnsi="Cambria Math"/>
                </w:rPr>
                <m:t>l</m:t>
              </m:r>
              <m:r>
                <m:rPr>
                  <m:sty m:val="b"/>
                </m:rPr>
                <w:rPr>
                  <w:rFonts w:ascii="Cambria Math" w:hAnsi="Cambria Math"/>
                </w:rPr>
                <m:t>'</m:t>
              </m:r>
              <m:r>
                <m:rPr>
                  <m:sty m:val="b"/>
                </m:rPr>
                <w:rPr>
                  <w:rFonts w:ascii="Cambria Math" w:hAnsi="Cambria Math"/>
                </w:rPr>
                <m:t>exploitation</m:t>
              </m:r>
            </m:num>
            <m:den>
              <m:r>
                <m:rPr>
                  <m:sty m:val="b"/>
                </m:rPr>
                <w:rPr>
                  <w:rFonts w:ascii="Cambria Math" w:hAnsi="Cambria Math"/>
                </w:rPr>
                <m:t>IFT</m:t>
              </m:r>
              <m:r>
                <m:rPr>
                  <m:sty m:val="b"/>
                </m:rPr>
                <w:rPr>
                  <w:rFonts w:ascii="Cambria Math" w:hAnsi="Cambria Math"/>
                </w:rPr>
                <m:t xml:space="preserve"> </m:t>
              </m:r>
              <m:r>
                <m:rPr>
                  <m:sty m:val="b"/>
                </m:rPr>
                <w:rPr>
                  <w:rFonts w:ascii="Cambria Math" w:hAnsi="Cambria Math"/>
                </w:rPr>
                <m:t>herbicides</m:t>
              </m:r>
              <m:r>
                <m:rPr>
                  <m:sty m:val="bi"/>
                </m:rPr>
                <w:rPr>
                  <w:rFonts w:ascii="Cambria Math" w:hAnsi="Cambria Math"/>
                </w:rPr>
                <m:t xml:space="preserve"> </m:t>
              </m:r>
              <m:r>
                <m:rPr>
                  <m:sty m:val="b"/>
                </m:rPr>
                <w:rPr>
                  <w:rFonts w:ascii="Cambria Math" w:hAnsi="Cambria Math"/>
                </w:rPr>
                <m:t>de</m:t>
              </m:r>
              <m:r>
                <m:rPr>
                  <m:sty m:val="b"/>
                </m:rPr>
                <w:rPr>
                  <w:rFonts w:ascii="Cambria Math" w:hAnsi="Cambria Math"/>
                </w:rPr>
                <m:t xml:space="preserve"> </m:t>
              </m:r>
              <m:r>
                <m:rPr>
                  <m:sty m:val="b"/>
                </m:rPr>
                <w:rPr>
                  <w:rFonts w:ascii="Cambria Math" w:hAnsi="Cambria Math"/>
                </w:rPr>
                <m:t>r</m:t>
              </m:r>
              <m:r>
                <m:rPr>
                  <m:sty m:val="b"/>
                </m:rPr>
                <w:rPr>
                  <w:rFonts w:ascii="Cambria Math" w:hAnsi="Cambria Math"/>
                </w:rPr>
                <m:t>é</m:t>
              </m:r>
              <m:r>
                <m:rPr>
                  <m:sty m:val="b"/>
                </m:rPr>
                <w:rPr>
                  <w:rFonts w:ascii="Cambria Math" w:hAnsi="Cambria Math"/>
                </w:rPr>
                <m:t>f</m:t>
              </m:r>
              <m:r>
                <m:rPr>
                  <m:sty m:val="b"/>
                </m:rPr>
                <w:rPr>
                  <w:rFonts w:ascii="Cambria Math" w:hAnsi="Cambria Math"/>
                </w:rPr>
                <m:t>é</m:t>
              </m:r>
              <m:r>
                <m:rPr>
                  <m:sty m:val="b"/>
                </m:rPr>
                <w:rPr>
                  <w:rFonts w:ascii="Cambria Math" w:hAnsi="Cambria Math"/>
                </w:rPr>
                <m:t>rence</m:t>
              </m:r>
            </m:den>
          </m:f>
        </m:oMath>
      </m:oMathPara>
    </w:p>
    <w:p w14:paraId="188604A9" w14:textId="77777777" w:rsidR="00CB31B4" w:rsidRPr="00122DF2" w:rsidRDefault="00CB31B4" w:rsidP="00CB31B4">
      <w:pPr>
        <w:spacing w:after="0" w:line="276" w:lineRule="auto"/>
        <w:jc w:val="both"/>
      </w:pPr>
    </w:p>
    <w:p w14:paraId="108D3642" w14:textId="77777777" w:rsidR="00A1200F" w:rsidRPr="00122DF2" w:rsidRDefault="00A1200F" w:rsidP="00A1200F">
      <w:pPr>
        <w:spacing w:after="0" w:line="276" w:lineRule="auto"/>
        <w:jc w:val="both"/>
      </w:pPr>
      <w:r w:rsidRPr="00122DF2">
        <w:t xml:space="preserve">L’IFT </w:t>
      </w:r>
      <w:r w:rsidRPr="00122DF2">
        <w:rPr>
          <w:vertAlign w:val="subscript"/>
        </w:rPr>
        <w:t>herbicides</w:t>
      </w:r>
      <w:r w:rsidRPr="00122DF2">
        <w:t xml:space="preserve"> de référence est défini comme étant </w:t>
      </w:r>
      <w:r>
        <w:t xml:space="preserve">la moyenne ou la médiane </w:t>
      </w:r>
      <w:r w:rsidRPr="00122DF2">
        <w:t xml:space="preserve">issu du diagnostic agricole territorial. </w:t>
      </w:r>
    </w:p>
    <w:p w14:paraId="4C4040F9" w14:textId="77777777" w:rsidR="00CB31B4" w:rsidRPr="00122DF2" w:rsidRDefault="00CB31B4" w:rsidP="00CB31B4">
      <w:pPr>
        <w:spacing w:after="200" w:line="276" w:lineRule="auto"/>
        <w:jc w:val="both"/>
      </w:pPr>
      <w:r w:rsidRPr="00122DF2">
        <w:t xml:space="preserve">Pour le calcul de l’IFT </w:t>
      </w:r>
      <w:r w:rsidRPr="00122DF2">
        <w:rPr>
          <w:vertAlign w:val="subscript"/>
        </w:rPr>
        <w:t>herbicides</w:t>
      </w:r>
      <w:r w:rsidRPr="00122DF2">
        <w:t xml:space="preserve"> de référence, il est recommandé de prendre la moyenne des trois dernières campagnes culturales pour lisser les variations interannuelles et éviter les effets d’une année atypique. Cet IFT </w:t>
      </w:r>
      <w:r w:rsidRPr="00122DF2">
        <w:rPr>
          <w:vertAlign w:val="subscript"/>
        </w:rPr>
        <w:t>herbicides</w:t>
      </w:r>
      <w:r w:rsidRPr="00122DF2">
        <w:t xml:space="preserve"> de référence est fixé pour les 5 années du dispositif.</w:t>
      </w:r>
    </w:p>
    <w:p w14:paraId="7FB50F72" w14:textId="77777777" w:rsidR="00CB31B4" w:rsidRPr="00122DF2" w:rsidRDefault="00CB31B4" w:rsidP="00CB31B4">
      <w:pPr>
        <w:spacing w:after="200" w:line="276" w:lineRule="auto"/>
        <w:jc w:val="both"/>
      </w:pPr>
      <w:r w:rsidRPr="00122DF2">
        <w:t xml:space="preserve">La </w:t>
      </w:r>
      <w:r w:rsidRPr="00122DF2">
        <w:rPr>
          <w:b/>
          <w:bCs/>
        </w:rPr>
        <w:t>note de l’exploitation</w:t>
      </w:r>
      <w:r w:rsidRPr="00122DF2">
        <w:t xml:space="preserve"> est obtenue en se référant à la grille de notation de l’indicateur « qualité de l’eau » du territoire élaborée par l’opérateur (Cf. point 2 ci-dessous), qui fait correspondre la valeur intrinsèque de l’indicateur avec une note.</w:t>
      </w:r>
    </w:p>
    <w:p w14:paraId="0DDC2D9D" w14:textId="77777777" w:rsidR="00CB31B4" w:rsidRPr="00122DF2" w:rsidRDefault="00CB31B4" w:rsidP="00CB31B4">
      <w:pPr>
        <w:spacing w:after="200" w:line="276" w:lineRule="auto"/>
        <w:jc w:val="both"/>
      </w:pPr>
      <w:r w:rsidRPr="00122DF2">
        <w:t>Pour l’</w:t>
      </w:r>
      <w:r w:rsidRPr="00122DF2">
        <w:rPr>
          <w:b/>
          <w:bCs/>
        </w:rPr>
        <w:t>année de référence</w:t>
      </w:r>
      <w:r w:rsidRPr="00122DF2">
        <w:t xml:space="preserve"> (année 0), l’IFT </w:t>
      </w:r>
      <w:r w:rsidRPr="00122DF2">
        <w:rPr>
          <w:vertAlign w:val="subscript"/>
        </w:rPr>
        <w:t>herbicides</w:t>
      </w:r>
      <w:r w:rsidRPr="00122DF2">
        <w:t xml:space="preserve"> de l’exploitation peut être moyenné sur les trois dernières années afin d’atténuer les effets d’une année 0 atypique et d’avoir une projection de trajectoire plus fiable.</w:t>
      </w:r>
    </w:p>
    <w:p w14:paraId="5D1A1670" w14:textId="77777777" w:rsidR="00CB31B4" w:rsidRPr="00122DF2" w:rsidRDefault="00CB31B4" w:rsidP="00CB31B4">
      <w:pPr>
        <w:pStyle w:val="Titre2"/>
        <w:rPr>
          <w:rFonts w:asciiTheme="minorHAnsi" w:hAnsiTheme="minorHAnsi"/>
        </w:rPr>
      </w:pPr>
      <w:bookmarkStart w:id="7" w:name="_Toc220428524"/>
      <w:r w:rsidRPr="00122DF2">
        <w:rPr>
          <w:rFonts w:asciiTheme="minorHAnsi" w:hAnsiTheme="minorHAnsi"/>
        </w:rPr>
        <w:t>Création de la grille de notation</w:t>
      </w:r>
      <w:bookmarkEnd w:id="7"/>
      <w:r w:rsidRPr="00122DF2">
        <w:rPr>
          <w:rFonts w:asciiTheme="minorHAnsi" w:hAnsiTheme="minorHAnsi"/>
        </w:rPr>
        <w:t> </w:t>
      </w:r>
    </w:p>
    <w:p w14:paraId="22003D54" w14:textId="7762E2B7" w:rsidR="00CB31B4" w:rsidRPr="00122DF2" w:rsidRDefault="00CB31B4" w:rsidP="00CB31B4">
      <w:pPr>
        <w:spacing w:after="200" w:line="276" w:lineRule="auto"/>
        <w:jc w:val="both"/>
      </w:pPr>
      <w:r w:rsidRPr="00122DF2">
        <w:t xml:space="preserve">La note minimale de la grille de notation (0) correspond à un ratio de 1, à savoir </w:t>
      </w:r>
      <w:r w:rsidR="005A69CE">
        <w:t>le moyenne ou médiane</w:t>
      </w:r>
      <w:r w:rsidRPr="00122DF2">
        <w:t xml:space="preserve"> des IFT </w:t>
      </w:r>
      <w:r w:rsidRPr="00122DF2">
        <w:rPr>
          <w:vertAlign w:val="subscript"/>
        </w:rPr>
        <w:t>herbicides</w:t>
      </w:r>
      <w:r w:rsidRPr="00122DF2">
        <w:t xml:space="preserve"> du diagnostic agricole territorial. </w:t>
      </w:r>
    </w:p>
    <w:p w14:paraId="7E3D7ADB" w14:textId="77777777" w:rsidR="00CB31B4" w:rsidRPr="00122DF2" w:rsidRDefault="00CB31B4" w:rsidP="00CB31B4">
      <w:pPr>
        <w:spacing w:after="200" w:line="276" w:lineRule="auto"/>
        <w:jc w:val="both"/>
      </w:pPr>
      <w:r w:rsidRPr="00122DF2">
        <w:t xml:space="preserve">La note maximale de la grille de notation (10) correspond à un ratio de 0, à savoir lorsque l’IFT </w:t>
      </w:r>
      <w:r w:rsidRPr="00122DF2">
        <w:rPr>
          <w:vertAlign w:val="subscript"/>
        </w:rPr>
        <w:t>herbicides</w:t>
      </w:r>
      <w:r w:rsidRPr="00122DF2">
        <w:t xml:space="preserve"> vaut 0.</w:t>
      </w:r>
    </w:p>
    <w:p w14:paraId="179F1E5E" w14:textId="77777777" w:rsidR="00CB31B4" w:rsidRPr="00122DF2" w:rsidRDefault="00CB31B4" w:rsidP="00CB31B4">
      <w:pPr>
        <w:spacing w:after="200" w:line="276" w:lineRule="auto"/>
        <w:jc w:val="both"/>
      </w:pPr>
      <w:r w:rsidRPr="00122DF2">
        <w:t>Une échelle de notation linéaire n’est pas obligatoire, afin de favoriser par exemple certains seuils d’efforts.</w:t>
      </w:r>
    </w:p>
    <w:p w14:paraId="4E5CCAE6" w14:textId="77777777" w:rsidR="00CB31B4" w:rsidRPr="00122DF2" w:rsidRDefault="00CB31B4" w:rsidP="00CB31B4">
      <w:pPr>
        <w:jc w:val="both"/>
      </w:pPr>
      <w:r w:rsidRPr="00122DF2">
        <w:t>Exemple de notation :</w:t>
      </w:r>
    </w:p>
    <w:tbl>
      <w:tblPr>
        <w:tblW w:w="9067" w:type="dxa"/>
        <w:tblLayout w:type="fixed"/>
        <w:tblCellMar>
          <w:left w:w="70" w:type="dxa"/>
          <w:right w:w="70" w:type="dxa"/>
        </w:tblCellMar>
        <w:tblLook w:val="04A0" w:firstRow="1" w:lastRow="0" w:firstColumn="1" w:lastColumn="0" w:noHBand="0" w:noVBand="1"/>
      </w:tblPr>
      <w:tblGrid>
        <w:gridCol w:w="4248"/>
        <w:gridCol w:w="803"/>
        <w:gridCol w:w="803"/>
        <w:gridCol w:w="803"/>
        <w:gridCol w:w="803"/>
        <w:gridCol w:w="803"/>
        <w:gridCol w:w="804"/>
      </w:tblGrid>
      <w:tr w:rsidR="00CB31B4" w:rsidRPr="00122DF2" w14:paraId="7D3AF675" w14:textId="77777777" w:rsidTr="00311ECB">
        <w:trPr>
          <w:trHeight w:val="274"/>
        </w:trPr>
        <w:tc>
          <w:tcPr>
            <w:tcW w:w="4248" w:type="dxa"/>
            <w:tcBorders>
              <w:top w:val="single" w:sz="4" w:space="0" w:color="auto"/>
              <w:left w:val="single" w:sz="4" w:space="0" w:color="auto"/>
              <w:bottom w:val="single" w:sz="4" w:space="0" w:color="auto"/>
              <w:right w:val="single" w:sz="4" w:space="0" w:color="auto"/>
            </w:tcBorders>
            <w:noWrap/>
            <w:vAlign w:val="bottom"/>
            <w:hideMark/>
          </w:tcPr>
          <w:p w14:paraId="58E0AFB9" w14:textId="77777777" w:rsidR="00CB31B4" w:rsidRPr="00122DF2" w:rsidRDefault="00CB31B4" w:rsidP="008A21FA">
            <w:pPr>
              <w:spacing w:after="0" w:line="240" w:lineRule="auto"/>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 xml:space="preserve">IFT </w:t>
            </w:r>
            <w:r w:rsidRPr="00122DF2">
              <w:rPr>
                <w:rFonts w:eastAsia="Times New Roman" w:cs="Times New Roman"/>
                <w:color w:val="000000"/>
                <w:kern w:val="0"/>
                <w:vertAlign w:val="subscript"/>
                <w:lang w:eastAsia="fr-FR"/>
                <w14:ligatures w14:val="none"/>
              </w:rPr>
              <w:t>herbicides</w:t>
            </w:r>
            <w:r w:rsidRPr="00122DF2">
              <w:rPr>
                <w:rFonts w:eastAsia="Times New Roman" w:cs="Times New Roman"/>
                <w:color w:val="000000"/>
                <w:kern w:val="0"/>
                <w:lang w:eastAsia="fr-FR"/>
                <w14:ligatures w14:val="none"/>
              </w:rPr>
              <w:t xml:space="preserve">/IFT </w:t>
            </w:r>
            <w:r w:rsidRPr="00122DF2">
              <w:rPr>
                <w:rFonts w:eastAsia="Times New Roman" w:cs="Times New Roman"/>
                <w:color w:val="000000"/>
                <w:kern w:val="0"/>
                <w:vertAlign w:val="subscript"/>
                <w:lang w:eastAsia="fr-FR"/>
                <w14:ligatures w14:val="none"/>
              </w:rPr>
              <w:t>herbicides</w:t>
            </w:r>
            <w:r w:rsidRPr="00122DF2">
              <w:rPr>
                <w:rFonts w:eastAsia="Times New Roman" w:cs="Times New Roman"/>
                <w:color w:val="000000"/>
                <w:kern w:val="0"/>
                <w:lang w:eastAsia="fr-FR"/>
                <w14:ligatures w14:val="none"/>
              </w:rPr>
              <w:t xml:space="preserve"> de référence </w:t>
            </w:r>
          </w:p>
        </w:tc>
        <w:tc>
          <w:tcPr>
            <w:tcW w:w="803" w:type="dxa"/>
            <w:tcBorders>
              <w:top w:val="single" w:sz="4" w:space="0" w:color="auto"/>
              <w:left w:val="nil"/>
              <w:bottom w:val="single" w:sz="4" w:space="0" w:color="auto"/>
              <w:right w:val="single" w:sz="4" w:space="0" w:color="auto"/>
            </w:tcBorders>
            <w:noWrap/>
            <w:hideMark/>
          </w:tcPr>
          <w:p w14:paraId="3EC221B3"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1</w:t>
            </w:r>
          </w:p>
        </w:tc>
        <w:tc>
          <w:tcPr>
            <w:tcW w:w="803" w:type="dxa"/>
            <w:tcBorders>
              <w:top w:val="single" w:sz="4" w:space="0" w:color="auto"/>
              <w:left w:val="nil"/>
              <w:bottom w:val="single" w:sz="4" w:space="0" w:color="auto"/>
              <w:right w:val="single" w:sz="4" w:space="0" w:color="auto"/>
            </w:tcBorders>
            <w:noWrap/>
            <w:hideMark/>
          </w:tcPr>
          <w:p w14:paraId="3893B388"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0,8</w:t>
            </w:r>
          </w:p>
        </w:tc>
        <w:tc>
          <w:tcPr>
            <w:tcW w:w="803" w:type="dxa"/>
            <w:tcBorders>
              <w:top w:val="single" w:sz="4" w:space="0" w:color="auto"/>
              <w:left w:val="nil"/>
              <w:bottom w:val="single" w:sz="4" w:space="0" w:color="auto"/>
              <w:right w:val="single" w:sz="4" w:space="0" w:color="auto"/>
            </w:tcBorders>
            <w:noWrap/>
            <w:hideMark/>
          </w:tcPr>
          <w:p w14:paraId="155B4AA4"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0,6</w:t>
            </w:r>
          </w:p>
        </w:tc>
        <w:tc>
          <w:tcPr>
            <w:tcW w:w="803" w:type="dxa"/>
            <w:tcBorders>
              <w:top w:val="single" w:sz="4" w:space="0" w:color="auto"/>
              <w:left w:val="nil"/>
              <w:bottom w:val="single" w:sz="4" w:space="0" w:color="auto"/>
              <w:right w:val="single" w:sz="4" w:space="0" w:color="auto"/>
            </w:tcBorders>
            <w:noWrap/>
            <w:hideMark/>
          </w:tcPr>
          <w:p w14:paraId="6A4B2E12"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0,4</w:t>
            </w:r>
          </w:p>
        </w:tc>
        <w:tc>
          <w:tcPr>
            <w:tcW w:w="803" w:type="dxa"/>
            <w:tcBorders>
              <w:top w:val="single" w:sz="4" w:space="0" w:color="auto"/>
              <w:left w:val="nil"/>
              <w:bottom w:val="single" w:sz="4" w:space="0" w:color="auto"/>
              <w:right w:val="single" w:sz="4" w:space="0" w:color="auto"/>
            </w:tcBorders>
            <w:noWrap/>
            <w:hideMark/>
          </w:tcPr>
          <w:p w14:paraId="61336717"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0,2</w:t>
            </w:r>
          </w:p>
        </w:tc>
        <w:tc>
          <w:tcPr>
            <w:tcW w:w="804" w:type="dxa"/>
            <w:tcBorders>
              <w:top w:val="single" w:sz="4" w:space="0" w:color="auto"/>
              <w:left w:val="nil"/>
              <w:bottom w:val="single" w:sz="4" w:space="0" w:color="auto"/>
              <w:right w:val="single" w:sz="4" w:space="0" w:color="auto"/>
            </w:tcBorders>
            <w:noWrap/>
            <w:hideMark/>
          </w:tcPr>
          <w:p w14:paraId="0C06D58B"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w:t>
            </w:r>
          </w:p>
        </w:tc>
      </w:tr>
      <w:tr w:rsidR="00CB31B4" w:rsidRPr="00122DF2" w14:paraId="21B574F1" w14:textId="77777777" w:rsidTr="00311ECB">
        <w:trPr>
          <w:trHeight w:val="274"/>
        </w:trPr>
        <w:tc>
          <w:tcPr>
            <w:tcW w:w="4248" w:type="dxa"/>
            <w:tcBorders>
              <w:top w:val="nil"/>
              <w:left w:val="single" w:sz="4" w:space="0" w:color="auto"/>
              <w:bottom w:val="single" w:sz="4" w:space="0" w:color="auto"/>
              <w:right w:val="single" w:sz="4" w:space="0" w:color="auto"/>
            </w:tcBorders>
            <w:noWrap/>
            <w:vAlign w:val="bottom"/>
            <w:hideMark/>
          </w:tcPr>
          <w:p w14:paraId="5A0DD2D9" w14:textId="77777777" w:rsidR="00CB31B4" w:rsidRPr="00122DF2" w:rsidRDefault="00CB31B4" w:rsidP="008A21FA">
            <w:pPr>
              <w:spacing w:after="0" w:line="240" w:lineRule="auto"/>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Note</w:t>
            </w:r>
          </w:p>
        </w:tc>
        <w:tc>
          <w:tcPr>
            <w:tcW w:w="803" w:type="dxa"/>
            <w:tcBorders>
              <w:top w:val="nil"/>
              <w:left w:val="nil"/>
              <w:bottom w:val="single" w:sz="4" w:space="0" w:color="auto"/>
              <w:right w:val="single" w:sz="4" w:space="0" w:color="auto"/>
            </w:tcBorders>
            <w:noWrap/>
            <w:hideMark/>
          </w:tcPr>
          <w:p w14:paraId="5F5EC1D8"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0</w:t>
            </w:r>
          </w:p>
        </w:tc>
        <w:tc>
          <w:tcPr>
            <w:tcW w:w="803" w:type="dxa"/>
            <w:tcBorders>
              <w:top w:val="nil"/>
              <w:left w:val="nil"/>
              <w:bottom w:val="single" w:sz="4" w:space="0" w:color="auto"/>
              <w:right w:val="single" w:sz="4" w:space="0" w:color="auto"/>
            </w:tcBorders>
            <w:noWrap/>
            <w:hideMark/>
          </w:tcPr>
          <w:p w14:paraId="513F74B4"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2</w:t>
            </w:r>
          </w:p>
        </w:tc>
        <w:tc>
          <w:tcPr>
            <w:tcW w:w="803" w:type="dxa"/>
            <w:tcBorders>
              <w:top w:val="nil"/>
              <w:left w:val="nil"/>
              <w:bottom w:val="single" w:sz="4" w:space="0" w:color="auto"/>
              <w:right w:val="single" w:sz="4" w:space="0" w:color="auto"/>
            </w:tcBorders>
            <w:noWrap/>
            <w:hideMark/>
          </w:tcPr>
          <w:p w14:paraId="0A6CF330"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4</w:t>
            </w:r>
          </w:p>
        </w:tc>
        <w:tc>
          <w:tcPr>
            <w:tcW w:w="803" w:type="dxa"/>
            <w:tcBorders>
              <w:top w:val="nil"/>
              <w:left w:val="nil"/>
              <w:bottom w:val="single" w:sz="4" w:space="0" w:color="auto"/>
              <w:right w:val="single" w:sz="4" w:space="0" w:color="auto"/>
            </w:tcBorders>
            <w:noWrap/>
            <w:hideMark/>
          </w:tcPr>
          <w:p w14:paraId="10BA2B18"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6</w:t>
            </w:r>
          </w:p>
        </w:tc>
        <w:tc>
          <w:tcPr>
            <w:tcW w:w="803" w:type="dxa"/>
            <w:tcBorders>
              <w:top w:val="nil"/>
              <w:left w:val="nil"/>
              <w:bottom w:val="single" w:sz="4" w:space="0" w:color="auto"/>
              <w:right w:val="single" w:sz="4" w:space="0" w:color="auto"/>
            </w:tcBorders>
            <w:noWrap/>
            <w:hideMark/>
          </w:tcPr>
          <w:p w14:paraId="5113E31A"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8</w:t>
            </w:r>
          </w:p>
        </w:tc>
        <w:tc>
          <w:tcPr>
            <w:tcW w:w="804" w:type="dxa"/>
            <w:tcBorders>
              <w:top w:val="nil"/>
              <w:left w:val="nil"/>
              <w:bottom w:val="single" w:sz="4" w:space="0" w:color="auto"/>
              <w:right w:val="single" w:sz="4" w:space="0" w:color="auto"/>
            </w:tcBorders>
            <w:noWrap/>
            <w:hideMark/>
          </w:tcPr>
          <w:p w14:paraId="02FC3CCF" w14:textId="77777777" w:rsidR="00CB31B4" w:rsidRPr="00122DF2" w:rsidRDefault="00CB31B4" w:rsidP="008A21FA">
            <w:pPr>
              <w:spacing w:after="0" w:line="240" w:lineRule="auto"/>
              <w:jc w:val="center"/>
              <w:rPr>
                <w:rFonts w:eastAsia="Times New Roman" w:cs="Times New Roman"/>
                <w:color w:val="000000"/>
                <w:kern w:val="0"/>
                <w:lang w:eastAsia="fr-FR"/>
                <w14:ligatures w14:val="none"/>
              </w:rPr>
            </w:pPr>
            <w:r w:rsidRPr="00122DF2">
              <w:rPr>
                <w:rFonts w:eastAsia="Times New Roman" w:cs="Times New Roman"/>
                <w:color w:val="000000"/>
                <w:kern w:val="0"/>
                <w:lang w:eastAsia="fr-FR"/>
                <w14:ligatures w14:val="none"/>
              </w:rPr>
              <w:t>10</w:t>
            </w:r>
          </w:p>
        </w:tc>
      </w:tr>
    </w:tbl>
    <w:p w14:paraId="49540DAE" w14:textId="77777777" w:rsidR="00CB31B4" w:rsidRPr="00122DF2" w:rsidRDefault="00CB31B4" w:rsidP="00CB31B4">
      <w:pPr>
        <w:jc w:val="both"/>
      </w:pPr>
    </w:p>
    <w:p w14:paraId="3FE3201A" w14:textId="78A9FBAD" w:rsidR="00CB31B4" w:rsidRPr="00122DF2" w:rsidRDefault="00CB31B4" w:rsidP="00CB31B4">
      <w:r w:rsidRPr="00122DF2">
        <w:br w:type="page"/>
      </w:r>
    </w:p>
    <w:p w14:paraId="3FBA4FA2" w14:textId="77777777" w:rsidR="00D35B7B" w:rsidRPr="00122DF2" w:rsidRDefault="00D35B7B" w:rsidP="00D35B7B">
      <w:pPr>
        <w:pStyle w:val="Titre"/>
        <w:spacing w:after="300"/>
        <w:jc w:val="center"/>
        <w:rPr>
          <w:rFonts w:asciiTheme="minorHAnsi" w:hAnsiTheme="minorHAnsi"/>
          <w:color w:val="002060"/>
        </w:rPr>
      </w:pPr>
      <w:r w:rsidRPr="00122DF2">
        <w:rPr>
          <w:rFonts w:asciiTheme="minorHAnsi" w:eastAsia="Calibri" w:hAnsiTheme="minorHAnsi" w:cs="Calibri"/>
          <w:color w:val="002060"/>
          <w:sz w:val="52"/>
          <w:szCs w:val="52"/>
        </w:rPr>
        <w:lastRenderedPageBreak/>
        <w:t>FICHE INDICATEUR D’EXPLOITATION N°</w:t>
      </w:r>
      <w:r>
        <w:rPr>
          <w:rFonts w:asciiTheme="minorHAnsi" w:eastAsia="Calibri" w:hAnsiTheme="minorHAnsi" w:cs="Calibri"/>
          <w:color w:val="002060"/>
          <w:sz w:val="52"/>
          <w:szCs w:val="52"/>
        </w:rPr>
        <w:t>3</w:t>
      </w:r>
    </w:p>
    <w:p w14:paraId="698DC9CC" w14:textId="77777777" w:rsidR="00D35B7B" w:rsidRPr="00122DF2" w:rsidRDefault="00D35B7B" w:rsidP="00D35B7B">
      <w:pPr>
        <w:pStyle w:val="Titre1"/>
        <w:rPr>
          <w:rFonts w:asciiTheme="minorHAnsi" w:eastAsia="Calibri" w:hAnsiTheme="minorHAnsi"/>
        </w:rPr>
      </w:pPr>
      <w:bookmarkStart w:id="8" w:name="_Toc220428525"/>
      <w:r w:rsidRPr="00122DF2">
        <w:rPr>
          <w:rFonts w:asciiTheme="minorHAnsi" w:eastAsia="Calibri" w:hAnsiTheme="minorHAnsi"/>
        </w:rPr>
        <w:t xml:space="preserve">Indicateur « </w:t>
      </w:r>
      <w:r>
        <w:rPr>
          <w:rFonts w:asciiTheme="minorHAnsi" w:eastAsia="Calibri" w:hAnsiTheme="minorHAnsi"/>
        </w:rPr>
        <w:t>Biodiversité</w:t>
      </w:r>
      <w:r w:rsidRPr="00122DF2">
        <w:rPr>
          <w:rFonts w:asciiTheme="minorHAnsi" w:eastAsia="Calibri" w:hAnsiTheme="minorHAnsi"/>
        </w:rPr>
        <w:t xml:space="preserve"> »</w:t>
      </w:r>
      <w:bookmarkEnd w:id="8"/>
    </w:p>
    <w:p w14:paraId="7F83900A" w14:textId="77777777" w:rsidR="00D35B7B" w:rsidRDefault="00D35B7B" w:rsidP="00D35B7B"/>
    <w:p w14:paraId="7539D647" w14:textId="77777777" w:rsidR="00D35B7B" w:rsidRDefault="00D35B7B" w:rsidP="00D35B7B">
      <w:pPr>
        <w:jc w:val="both"/>
        <w:rPr>
          <w:rFonts w:eastAsia="Aptos" w:cs="Aptos"/>
        </w:rPr>
      </w:pPr>
      <w:r w:rsidRPr="00122DF2">
        <w:rPr>
          <w:rFonts w:eastAsia="Aptos" w:cs="Aptos"/>
        </w:rPr>
        <w:t>C</w:t>
      </w:r>
      <w:r>
        <w:rPr>
          <w:rFonts w:eastAsia="Aptos" w:cs="Aptos"/>
        </w:rPr>
        <w:t>onformément au règlement de l’AMI PSE2 (point 3-2-a), cet</w:t>
      </w:r>
      <w:r w:rsidRPr="00122DF2">
        <w:rPr>
          <w:rFonts w:eastAsia="Aptos" w:cs="Aptos"/>
        </w:rPr>
        <w:t xml:space="preserve"> indicateur </w:t>
      </w:r>
      <w:r>
        <w:rPr>
          <w:rFonts w:eastAsia="Aptos" w:cs="Aptos"/>
        </w:rPr>
        <w:t xml:space="preserve">est à définir par l’opérateur PSE qui a choisi de poursuivre l’objectif « biodiversité » dans le cadre de son projet PSE. </w:t>
      </w:r>
    </w:p>
    <w:p w14:paraId="46DE4B5E" w14:textId="77777777" w:rsidR="00D35B7B" w:rsidRDefault="00D35B7B" w:rsidP="00D35B7B">
      <w:pPr>
        <w:jc w:val="both"/>
        <w:rPr>
          <w:rFonts w:cstheme="minorHAnsi"/>
        </w:rPr>
      </w:pPr>
      <w:r w:rsidRPr="00AF773D">
        <w:rPr>
          <w:rFonts w:eastAsia="Aptos" w:cs="Aptos"/>
        </w:rPr>
        <w:t xml:space="preserve">Cet indicateur vise à </w:t>
      </w:r>
      <w:r w:rsidRPr="00AF773D">
        <w:rPr>
          <w:rFonts w:cstheme="minorHAnsi"/>
        </w:rPr>
        <w:t>restaurer des espèces terrestres inféodées aux milieux aquatiques et humides</w:t>
      </w:r>
      <w:r>
        <w:rPr>
          <w:rFonts w:cstheme="minorHAnsi"/>
        </w:rPr>
        <w:t xml:space="preserve">. </w:t>
      </w:r>
    </w:p>
    <w:p w14:paraId="58FE2C70" w14:textId="77777777" w:rsidR="00D35B7B" w:rsidRDefault="00D35B7B" w:rsidP="00D35B7B">
      <w:pPr>
        <w:jc w:val="both"/>
        <w:rPr>
          <w:rFonts w:cstheme="minorHAnsi"/>
        </w:rPr>
      </w:pPr>
    </w:p>
    <w:p w14:paraId="29FBB5FB" w14:textId="77777777" w:rsidR="00D35B7B" w:rsidRPr="006B2E09" w:rsidRDefault="00D35B7B" w:rsidP="00D35B7B">
      <w:pPr>
        <w:pStyle w:val="Titre2"/>
      </w:pPr>
      <w:bookmarkStart w:id="9" w:name="_Toc220428526"/>
      <w:r w:rsidRPr="006B2E09">
        <w:t>Définition de l’indicateur biodiversité par l’opérateur</w:t>
      </w:r>
      <w:bookmarkEnd w:id="9"/>
    </w:p>
    <w:p w14:paraId="38812A3D" w14:textId="77777777" w:rsidR="00D35B7B" w:rsidRDefault="00D35B7B" w:rsidP="00D35B7B">
      <w:pPr>
        <w:spacing w:before="120"/>
        <w:jc w:val="both"/>
        <w:rPr>
          <w:rFonts w:cstheme="minorHAnsi"/>
        </w:rPr>
      </w:pPr>
      <w:r>
        <w:rPr>
          <w:rFonts w:cstheme="minorHAnsi"/>
        </w:rPr>
        <w:t xml:space="preserve">Les éléments ci-dessous sont extraits de l’annexe 3 du règlement de l’AMI PSE2 qui précisait déjà les principes de définition d’un indicateur biodiversité. </w:t>
      </w:r>
    </w:p>
    <w:p w14:paraId="4E3E27A6" w14:textId="77777777" w:rsidR="00D35B7B" w:rsidRDefault="00D35B7B" w:rsidP="00D35B7B">
      <w:pPr>
        <w:tabs>
          <w:tab w:val="num" w:pos="720"/>
        </w:tabs>
        <w:jc w:val="both"/>
        <w:rPr>
          <w:rFonts w:cstheme="minorHAnsi"/>
        </w:rPr>
      </w:pPr>
      <w:r>
        <w:rPr>
          <w:rFonts w:cstheme="minorHAnsi"/>
        </w:rPr>
        <w:t>L’opérateur définit l’indicateur biodiversité en fonction de l’espèce ou des espèces à préserver sur la trame turquoise du territoire.</w:t>
      </w:r>
    </w:p>
    <w:p w14:paraId="4183DBB4" w14:textId="77777777" w:rsidR="00D35B7B" w:rsidRPr="00111FF0" w:rsidRDefault="00D35B7B" w:rsidP="00D35B7B">
      <w:pPr>
        <w:tabs>
          <w:tab w:val="num" w:pos="720"/>
        </w:tabs>
        <w:jc w:val="both"/>
        <w:rPr>
          <w:rFonts w:cstheme="minorHAnsi"/>
          <w:u w:val="single"/>
        </w:rPr>
      </w:pPr>
      <w:r w:rsidRPr="00111FF0">
        <w:rPr>
          <w:rFonts w:cstheme="minorHAnsi"/>
          <w:u w:val="single"/>
        </w:rPr>
        <w:t>A - Etapes de la définition de l’indicateur biodiversité</w:t>
      </w:r>
    </w:p>
    <w:p w14:paraId="7A905E68" w14:textId="77777777" w:rsidR="00D35B7B" w:rsidRDefault="00D35B7B" w:rsidP="00D35B7B">
      <w:pPr>
        <w:tabs>
          <w:tab w:val="num" w:pos="720"/>
        </w:tabs>
        <w:jc w:val="both"/>
        <w:rPr>
          <w:rFonts w:cstheme="minorHAnsi"/>
        </w:rPr>
      </w:pPr>
      <w:r>
        <w:rPr>
          <w:rFonts w:cstheme="minorHAnsi"/>
        </w:rPr>
        <w:t xml:space="preserve">Dans un premier temps l’opérateur </w:t>
      </w:r>
      <w:r w:rsidRPr="004B1932">
        <w:rPr>
          <w:rFonts w:cstheme="minorHAnsi"/>
          <w:b/>
          <w:bCs/>
        </w:rPr>
        <w:t>décri</w:t>
      </w:r>
      <w:r>
        <w:rPr>
          <w:rFonts w:cstheme="minorHAnsi"/>
          <w:b/>
          <w:bCs/>
        </w:rPr>
        <w:t>t</w:t>
      </w:r>
      <w:r w:rsidRPr="004B1932">
        <w:rPr>
          <w:rFonts w:cstheme="minorHAnsi"/>
          <w:b/>
          <w:bCs/>
        </w:rPr>
        <w:t xml:space="preserve"> précisément la ou les espèce(s) terrestres inféodées aux milieux aquatiques et humides à restaurer</w:t>
      </w:r>
      <w:r>
        <w:rPr>
          <w:rFonts w:cstheme="minorHAnsi"/>
        </w:rPr>
        <w:t>, la pression qui s’exerce sur elle.</w:t>
      </w:r>
    </w:p>
    <w:p w14:paraId="0F82A9B4" w14:textId="77777777" w:rsidR="00D35B7B" w:rsidRDefault="00D35B7B" w:rsidP="00D35B7B">
      <w:pPr>
        <w:tabs>
          <w:tab w:val="num" w:pos="720"/>
        </w:tabs>
        <w:jc w:val="both"/>
        <w:rPr>
          <w:rFonts w:cstheme="minorHAnsi"/>
        </w:rPr>
      </w:pPr>
      <w:r>
        <w:rPr>
          <w:rFonts w:cstheme="minorHAnsi"/>
        </w:rPr>
        <w:t xml:space="preserve">Dans un second temps l’opérateur </w:t>
      </w:r>
      <w:r w:rsidRPr="00B87CBB">
        <w:rPr>
          <w:rFonts w:cstheme="minorHAnsi"/>
          <w:b/>
          <w:bCs/>
        </w:rPr>
        <w:t>identifie le changement de pratiques agricoles qu’il souhaite initier sur son territoire afin de favoriser la restauration de cette espèce</w:t>
      </w:r>
      <w:r>
        <w:rPr>
          <w:rFonts w:cstheme="minorHAnsi"/>
        </w:rPr>
        <w:t xml:space="preserve">. L’amélioration visée peut porter sur la conservation de l’espèce en termes de pratiques agricoles plus adaptées ou sur les habitats et corridors nécessaires à l’accomplissement de son cycle de vie (restauration de la trame turquoise). Cette réflexion va permettre de préciser l’indicateur d’exploitation le plus adapté. Il peut être extrait de la liste des indicateurs proposés au niveau national et déjà validés par le </w:t>
      </w:r>
      <w:proofErr w:type="gramStart"/>
      <w:r>
        <w:rPr>
          <w:rFonts w:cstheme="minorHAnsi"/>
        </w:rPr>
        <w:t>Ministère de l’écologie</w:t>
      </w:r>
      <w:proofErr w:type="gramEnd"/>
      <w:r>
        <w:rPr>
          <w:rFonts w:cstheme="minorHAnsi"/>
        </w:rPr>
        <w:t xml:space="preserve"> (</w:t>
      </w:r>
      <w:r w:rsidRPr="005C0E16">
        <w:rPr>
          <w:rFonts w:cstheme="minorHAnsi"/>
          <w:highlight w:val="yellow"/>
        </w:rPr>
        <w:t>Lien</w:t>
      </w:r>
      <w:r>
        <w:rPr>
          <w:rFonts w:cstheme="minorHAnsi"/>
        </w:rPr>
        <w:t>).</w:t>
      </w:r>
      <w:r w:rsidRPr="00920C6C">
        <w:rPr>
          <w:rFonts w:cstheme="minorHAnsi"/>
        </w:rPr>
        <w:t xml:space="preserve"> </w:t>
      </w:r>
    </w:p>
    <w:p w14:paraId="22B523DA" w14:textId="77777777" w:rsidR="00D35B7B" w:rsidRPr="00111FF0" w:rsidRDefault="00D35B7B" w:rsidP="00D35B7B">
      <w:pPr>
        <w:tabs>
          <w:tab w:val="num" w:pos="720"/>
        </w:tabs>
        <w:jc w:val="both"/>
        <w:rPr>
          <w:rFonts w:cstheme="minorHAnsi"/>
          <w:u w:val="single"/>
        </w:rPr>
      </w:pPr>
      <w:r w:rsidRPr="00111FF0">
        <w:rPr>
          <w:rFonts w:cstheme="minorHAnsi"/>
          <w:u w:val="single"/>
        </w:rPr>
        <w:t>B – Exemples d’indicateur biodiversité</w:t>
      </w:r>
    </w:p>
    <w:p w14:paraId="1A2D2449" w14:textId="77777777" w:rsidR="00D35B7B" w:rsidRDefault="00D35B7B" w:rsidP="00D35B7B">
      <w:pPr>
        <w:tabs>
          <w:tab w:val="num" w:pos="720"/>
        </w:tabs>
        <w:jc w:val="both"/>
        <w:rPr>
          <w:rFonts w:cstheme="minorHAnsi"/>
        </w:rPr>
      </w:pPr>
      <w:r>
        <w:rPr>
          <w:rFonts w:cstheme="minorHAnsi"/>
        </w:rPr>
        <w:t xml:space="preserve">L’indicateur d’exploitation peut, par exemple, permettre de mesurer l’intensité de retard de fauche sur les prairies de la trame turquoise dans l’objectif de préserver une espèce qui niche au printemps (exemples du râle des genêts, de la cistude, des phragmites aquatiques, des papillons de jours, ...). </w:t>
      </w:r>
    </w:p>
    <w:p w14:paraId="50D5BFF0" w14:textId="77777777" w:rsidR="00D35B7B" w:rsidRDefault="00D35B7B" w:rsidP="00D35B7B">
      <w:pPr>
        <w:tabs>
          <w:tab w:val="num" w:pos="720"/>
        </w:tabs>
        <w:jc w:val="both"/>
        <w:rPr>
          <w:rFonts w:cstheme="minorHAnsi"/>
        </w:rPr>
      </w:pPr>
      <w:r>
        <w:rPr>
          <w:rFonts w:cstheme="minorHAnsi"/>
        </w:rPr>
        <w:t xml:space="preserve">L’objectif peut aussi se traduire par la création de haies et/ou de mares pour restaurer la trame turquoise en faveur de telle ou telle espèce (exemples du pélobate cultripède ou des chiroptères). L’indicateur d’exploitation pourra alors permettre de mesurer le % de haie / SAU. Si tel est le cas, cet indicateur correspond à celui de la liste nationale « % IAE / SAU » qui implique que l’IAE, en l’occurrence ici la haie, soit gérée durablement selon le cahier des charges du label haie (Cf. règles du régime N° SA 115044 </w:t>
      </w:r>
      <w:r w:rsidRPr="009111CF">
        <w:rPr>
          <w:rFonts w:cstheme="minorHAnsi"/>
        </w:rPr>
        <w:t xml:space="preserve">en annexe 4). </w:t>
      </w:r>
      <w:r>
        <w:rPr>
          <w:rFonts w:cstheme="minorHAnsi"/>
        </w:rPr>
        <w:t xml:space="preserve">Dans le cadre de cette deuxième expérimentation </w:t>
      </w:r>
      <w:r>
        <w:rPr>
          <w:rFonts w:cstheme="minorHAnsi"/>
        </w:rPr>
        <w:lastRenderedPageBreak/>
        <w:t>PSE, l’agence de l’eau n’accompagne pas la structuration de l’accompagnement des exploitations agricoles dans le label haie (montée en compétence des structures référentes du label haie, développement d’organisations collectives de gestionnaires, certification des exploitations agricoles, plan de gestion durable des haies, …). Si l’opérateur souhaite mobiliser l’indicateur « % IAE (intégrant des haies) / SAU », cela implique que les exploitations agricoles soient certifiées « label haies » pour être rémunérées. L’opérateur doit s’assurer au préalable que des structures sont en place sur son territoire pour accompagner les exploitations autour du label haie. A ce titre des crédits nationaux peuvent être mobilisables, pour autant que des appels à projet soient lancés en région, au travers du dispositif du Pacte pour la haie.</w:t>
      </w:r>
    </w:p>
    <w:p w14:paraId="3331359A" w14:textId="77777777" w:rsidR="00D35B7B" w:rsidRPr="0060567D" w:rsidRDefault="00D35B7B" w:rsidP="00D35B7B">
      <w:pPr>
        <w:pStyle w:val="Titre2"/>
        <w:rPr>
          <w:rFonts w:asciiTheme="minorHAnsi" w:hAnsiTheme="minorHAnsi"/>
        </w:rPr>
      </w:pPr>
      <w:bookmarkStart w:id="10" w:name="_Toc220428527"/>
      <w:r w:rsidRPr="0060567D">
        <w:rPr>
          <w:rFonts w:asciiTheme="minorHAnsi" w:hAnsiTheme="minorHAnsi"/>
        </w:rPr>
        <w:t>Calcul de la note de l’indicateur d’exploitation</w:t>
      </w:r>
      <w:bookmarkEnd w:id="10"/>
    </w:p>
    <w:p w14:paraId="01E21F81" w14:textId="77777777" w:rsidR="00D35B7B" w:rsidRDefault="00D35B7B" w:rsidP="00D35B7B">
      <w:pPr>
        <w:tabs>
          <w:tab w:val="num" w:pos="720"/>
        </w:tabs>
        <w:jc w:val="both"/>
        <w:rPr>
          <w:rFonts w:cstheme="minorHAnsi"/>
        </w:rPr>
      </w:pPr>
      <w:r>
        <w:rPr>
          <w:rFonts w:cstheme="minorHAnsi"/>
        </w:rPr>
        <w:t xml:space="preserve">C’est à l’opérateur de définir le mode de calcul de l’indicateur d’exploitation qu’il a </w:t>
      </w:r>
      <w:proofErr w:type="spellStart"/>
      <w:r>
        <w:rPr>
          <w:rFonts w:cstheme="minorHAnsi"/>
        </w:rPr>
        <w:t>choisit</w:t>
      </w:r>
      <w:proofErr w:type="spellEnd"/>
      <w:r>
        <w:rPr>
          <w:rFonts w:cstheme="minorHAnsi"/>
        </w:rPr>
        <w:t xml:space="preserve"> pour répondre à l’objectif de restauration de la ou des espèces à restaurer sur la trame turquoise de son territoire.</w:t>
      </w:r>
    </w:p>
    <w:p w14:paraId="5ADF4113" w14:textId="77777777" w:rsidR="00D35B7B" w:rsidRDefault="00D35B7B" w:rsidP="00D35B7B">
      <w:pPr>
        <w:tabs>
          <w:tab w:val="num" w:pos="720"/>
        </w:tabs>
        <w:jc w:val="both"/>
        <w:rPr>
          <w:rFonts w:cstheme="minorHAnsi"/>
        </w:rPr>
      </w:pPr>
      <w:r>
        <w:rPr>
          <w:rFonts w:cstheme="minorHAnsi"/>
        </w:rPr>
        <w:t xml:space="preserve">L’indicateur proposé par l’opérateur doit être </w:t>
      </w:r>
      <w:r w:rsidRPr="00170318">
        <w:rPr>
          <w:rFonts w:cstheme="minorHAnsi"/>
          <w:b/>
          <w:bCs/>
        </w:rPr>
        <w:t>simple à calculer</w:t>
      </w:r>
      <w:r>
        <w:rPr>
          <w:rFonts w:cstheme="minorHAnsi"/>
        </w:rPr>
        <w:t xml:space="preserve">. </w:t>
      </w:r>
    </w:p>
    <w:p w14:paraId="41D04BFF" w14:textId="77777777" w:rsidR="00D35B7B" w:rsidRDefault="00D35B7B" w:rsidP="00D35B7B">
      <w:pPr>
        <w:tabs>
          <w:tab w:val="num" w:pos="720"/>
        </w:tabs>
        <w:jc w:val="both"/>
        <w:rPr>
          <w:rFonts w:cstheme="minorHAnsi"/>
        </w:rPr>
      </w:pPr>
      <w:r w:rsidRPr="001D7003">
        <w:rPr>
          <w:rFonts w:cstheme="minorHAnsi"/>
          <w:b/>
          <w:bCs/>
        </w:rPr>
        <w:t>L’agence de l’eau se garde la possibilité d’accepter ou non l’indicateur proposé</w:t>
      </w:r>
      <w:r>
        <w:rPr>
          <w:rFonts w:cstheme="minorHAnsi"/>
        </w:rPr>
        <w:t>.</w:t>
      </w:r>
    </w:p>
    <w:p w14:paraId="6F005B29" w14:textId="77777777" w:rsidR="00D35B7B" w:rsidRPr="0089214F" w:rsidRDefault="00D35B7B" w:rsidP="00D35B7B">
      <w:pPr>
        <w:pStyle w:val="Titre2"/>
        <w:rPr>
          <w:rFonts w:asciiTheme="minorHAnsi" w:hAnsiTheme="minorHAnsi"/>
        </w:rPr>
      </w:pPr>
      <w:bookmarkStart w:id="11" w:name="_Toc220428528"/>
      <w:r w:rsidRPr="0089214F">
        <w:rPr>
          <w:rFonts w:asciiTheme="minorHAnsi" w:hAnsiTheme="minorHAnsi"/>
        </w:rPr>
        <w:t>Création de la grille de notation</w:t>
      </w:r>
      <w:bookmarkEnd w:id="11"/>
      <w:r w:rsidRPr="0089214F">
        <w:rPr>
          <w:rFonts w:asciiTheme="minorHAnsi" w:hAnsiTheme="minorHAnsi"/>
        </w:rPr>
        <w:t> </w:t>
      </w:r>
    </w:p>
    <w:p w14:paraId="7BB638D0" w14:textId="77777777" w:rsidR="00D35B7B" w:rsidRPr="00122DF2" w:rsidRDefault="00D35B7B" w:rsidP="00D35B7B">
      <w:pPr>
        <w:jc w:val="both"/>
      </w:pPr>
      <w:r w:rsidRPr="00122DF2">
        <w:t xml:space="preserve">La note minimale de la grille de notation (0) correspond à la moyenne ou la médiane de la valeur intrinsèque de l’indicateur « </w:t>
      </w:r>
      <w:r>
        <w:t>biodiversité</w:t>
      </w:r>
      <w:r w:rsidRPr="00122DF2">
        <w:t xml:space="preserve"> » issue du diagnostic agricole territorial. </w:t>
      </w:r>
    </w:p>
    <w:p w14:paraId="18AE8CC2" w14:textId="4D963D62" w:rsidR="00D35B7B" w:rsidRDefault="00D35B7B" w:rsidP="00D35B7B">
      <w:pPr>
        <w:jc w:val="both"/>
      </w:pPr>
      <w:r w:rsidRPr="00122DF2">
        <w:t>La note maximale de la grille de notation (10) correspond à un service environnemental maximum</w:t>
      </w:r>
      <w:r>
        <w:t xml:space="preserve"> à définir par l’opérateur en lien avec l’agence de l’eau.</w:t>
      </w:r>
    </w:p>
    <w:p w14:paraId="17BDA57B" w14:textId="77777777" w:rsidR="00D35B7B" w:rsidRDefault="00D35B7B">
      <w:r>
        <w:br w:type="page"/>
      </w:r>
    </w:p>
    <w:p w14:paraId="3C1A0749" w14:textId="77777777" w:rsidR="00D35B7B" w:rsidRDefault="00D35B7B" w:rsidP="00D35B7B">
      <w:pPr>
        <w:jc w:val="both"/>
      </w:pPr>
    </w:p>
    <w:p w14:paraId="5DFDB83C" w14:textId="33449A8A" w:rsidR="00122DF2" w:rsidRPr="00122DF2" w:rsidRDefault="00122DF2" w:rsidP="00122DF2">
      <w:pPr>
        <w:pStyle w:val="Titre"/>
        <w:spacing w:after="300"/>
        <w:jc w:val="center"/>
        <w:rPr>
          <w:rFonts w:asciiTheme="minorHAnsi" w:hAnsiTheme="minorHAnsi"/>
          <w:color w:val="002060"/>
        </w:rPr>
      </w:pPr>
      <w:r w:rsidRPr="00122DF2">
        <w:rPr>
          <w:rFonts w:asciiTheme="minorHAnsi" w:eastAsia="Calibri" w:hAnsiTheme="minorHAnsi" w:cs="Calibri"/>
          <w:color w:val="002060"/>
          <w:sz w:val="52"/>
          <w:szCs w:val="52"/>
        </w:rPr>
        <w:t>FICHE INDICATEUR D’EXPLOITATION N°</w:t>
      </w:r>
      <w:r w:rsidR="004C50AB">
        <w:rPr>
          <w:rFonts w:asciiTheme="minorHAnsi" w:eastAsia="Calibri" w:hAnsiTheme="minorHAnsi" w:cs="Calibri"/>
          <w:color w:val="002060"/>
          <w:sz w:val="52"/>
          <w:szCs w:val="52"/>
        </w:rPr>
        <w:t>4</w:t>
      </w:r>
    </w:p>
    <w:p w14:paraId="07534E5B" w14:textId="77777777" w:rsidR="00CB31B4" w:rsidRPr="00122DF2" w:rsidRDefault="00CB31B4" w:rsidP="00626C29">
      <w:pPr>
        <w:pStyle w:val="Titre1"/>
        <w:rPr>
          <w:rFonts w:asciiTheme="minorHAnsi" w:eastAsia="Calibri" w:hAnsiTheme="minorHAnsi"/>
        </w:rPr>
      </w:pPr>
      <w:bookmarkStart w:id="12" w:name="_Toc220428529"/>
      <w:r w:rsidRPr="00122DF2">
        <w:rPr>
          <w:rFonts w:asciiTheme="minorHAnsi" w:eastAsia="Calibri" w:hAnsiTheme="minorHAnsi"/>
        </w:rPr>
        <w:t>Indicateur « Zones humides »</w:t>
      </w:r>
      <w:bookmarkEnd w:id="12"/>
    </w:p>
    <w:p w14:paraId="21F1A26C" w14:textId="77777777" w:rsidR="00CB31B4" w:rsidRPr="00122DF2" w:rsidRDefault="00CB31B4" w:rsidP="00CB31B4">
      <w:pPr>
        <w:spacing w:line="257" w:lineRule="auto"/>
        <w:jc w:val="both"/>
      </w:pPr>
      <w:r w:rsidRPr="00122DF2">
        <w:rPr>
          <w:rFonts w:eastAsia="Aptos" w:cs="Aptos"/>
        </w:rPr>
        <w:t xml:space="preserve"> </w:t>
      </w:r>
    </w:p>
    <w:p w14:paraId="4DF0C6E6" w14:textId="77777777" w:rsidR="00CB31B4" w:rsidRDefault="00CB31B4" w:rsidP="00CB31B4">
      <w:pPr>
        <w:spacing w:after="200" w:line="276" w:lineRule="auto"/>
        <w:jc w:val="both"/>
        <w:rPr>
          <w:rFonts w:eastAsia="Cambria" w:cs="Cambria"/>
        </w:rPr>
      </w:pPr>
      <w:r w:rsidRPr="00122DF2">
        <w:rPr>
          <w:rFonts w:eastAsia="Aptos" w:cs="Aptos"/>
        </w:rPr>
        <w:t xml:space="preserve">Cet indicateur </w:t>
      </w:r>
      <w:r w:rsidRPr="00122DF2">
        <w:rPr>
          <w:rFonts w:eastAsia="Cambria" w:cs="Cambria"/>
        </w:rPr>
        <w:t>vise à quantifier le pourcentage de prairies permanentes non traitées et à l’amendement limité des exploitations agricoles engagées dans un PSE poursuivant l’objectif de l’amélioration du fonctionnement des « zones humides ».</w:t>
      </w:r>
    </w:p>
    <w:p w14:paraId="290B5234" w14:textId="77777777" w:rsidR="00122DF2" w:rsidRPr="00122DF2" w:rsidRDefault="00122DF2" w:rsidP="00CB31B4">
      <w:pPr>
        <w:spacing w:after="200" w:line="276" w:lineRule="auto"/>
        <w:jc w:val="both"/>
        <w:rPr>
          <w:rFonts w:eastAsia="Cambria" w:cs="Cambria"/>
        </w:rPr>
      </w:pPr>
    </w:p>
    <w:p w14:paraId="325D56E7" w14:textId="77777777" w:rsidR="00CB31B4" w:rsidRPr="00122DF2" w:rsidRDefault="00CB31B4" w:rsidP="00CB31B4">
      <w:pPr>
        <w:pStyle w:val="Titre2"/>
        <w:numPr>
          <w:ilvl w:val="0"/>
          <w:numId w:val="9"/>
        </w:numPr>
        <w:rPr>
          <w:rFonts w:asciiTheme="minorHAnsi" w:eastAsia="Aptos Display" w:hAnsiTheme="minorHAnsi"/>
        </w:rPr>
      </w:pPr>
      <w:bookmarkStart w:id="13" w:name="_Toc220428530"/>
      <w:r w:rsidRPr="00122DF2">
        <w:rPr>
          <w:rFonts w:asciiTheme="minorHAnsi" w:eastAsia="Aptos Display" w:hAnsiTheme="minorHAnsi"/>
        </w:rPr>
        <w:t>Calcul de la note de l’indicateur d’exploitation</w:t>
      </w:r>
      <w:bookmarkEnd w:id="13"/>
    </w:p>
    <w:p w14:paraId="24FE0378" w14:textId="77777777" w:rsidR="00CB31B4" w:rsidRPr="00122DF2" w:rsidRDefault="00CB31B4" w:rsidP="00CB31B4">
      <w:pPr>
        <w:spacing w:after="0" w:line="276" w:lineRule="auto"/>
        <w:jc w:val="both"/>
        <w:rPr>
          <w:rFonts w:eastAsia="Cambria" w:cs="Cambria"/>
        </w:rPr>
      </w:pPr>
      <w:r w:rsidRPr="00122DF2">
        <w:rPr>
          <w:rFonts w:eastAsia="Cambria" w:cs="Cambria"/>
        </w:rPr>
        <w:t>La valeur intrinsèque de l’indicateur « zones humides » est défini de la façon suivante :</w:t>
      </w:r>
    </w:p>
    <w:p w14:paraId="3FD7DCC6" w14:textId="77777777" w:rsidR="00CB31B4" w:rsidRPr="00122DF2" w:rsidRDefault="00CB31B4" w:rsidP="00CB31B4">
      <w:pPr>
        <w:spacing w:after="0" w:line="276" w:lineRule="auto"/>
        <w:jc w:val="both"/>
        <w:rPr>
          <w:rFonts w:eastAsia="Cambria" w:cs="Cambria"/>
        </w:rPr>
      </w:pPr>
    </w:p>
    <w:p w14:paraId="573D6B06" w14:textId="77777777" w:rsidR="00CB31B4" w:rsidRPr="00122DF2" w:rsidRDefault="002841D0" w:rsidP="00CB31B4">
      <w:pPr>
        <w:spacing w:after="0" w:line="276" w:lineRule="auto"/>
        <w:jc w:val="both"/>
        <w:rPr>
          <w:rFonts w:eastAsia="Cambria" w:cs="Cambria"/>
          <w:b/>
          <w:bCs/>
        </w:rPr>
      </w:pPr>
      <m:oMath>
        <m:f>
          <m:fPr>
            <m:ctrlPr>
              <w:rPr>
                <w:rFonts w:ascii="Cambria Math" w:eastAsia="Cambria" w:hAnsi="Cambria Math" w:cs="Cambria"/>
                <w:b/>
                <w:bCs/>
                <w:iCs/>
                <w:sz w:val="32"/>
                <w:szCs w:val="32"/>
              </w:rPr>
            </m:ctrlPr>
          </m:fPr>
          <m:num>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surfaces</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prairies</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permanentes</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non</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trait</m:t>
            </m:r>
            <m:r>
              <m:rPr>
                <m:sty m:val="b"/>
              </m:rPr>
              <w:rPr>
                <w:rFonts w:ascii="Cambria Math" w:eastAsia="Cambria" w:hAnsi="Cambria Math" w:cs="Cambria"/>
                <w:sz w:val="32"/>
                <w:szCs w:val="32"/>
              </w:rPr>
              <m:t>é</m:t>
            </m:r>
            <m:r>
              <m:rPr>
                <m:sty m:val="b"/>
              </m:rPr>
              <w:rPr>
                <w:rFonts w:ascii="Cambria Math" w:eastAsia="Cambria" w:hAnsi="Cambria Math" w:cs="Cambria"/>
                <w:sz w:val="32"/>
                <w:szCs w:val="32"/>
              </w:rPr>
              <m:t>es</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et</m:t>
            </m:r>
            <m:r>
              <m:rPr>
                <m:sty m:val="b"/>
              </m:rPr>
              <w:rPr>
                <w:rFonts w:ascii="Cambria Math" w:eastAsia="Cambria" w:hAnsi="Cambria Math" w:cs="Cambria"/>
                <w:sz w:val="32"/>
                <w:szCs w:val="32"/>
              </w:rPr>
              <m:t xml:space="preserve"> à </m:t>
            </m:r>
            <m:r>
              <m:rPr>
                <m:sty m:val="b"/>
              </m:rPr>
              <w:rPr>
                <w:rFonts w:ascii="Cambria Math" w:eastAsia="Cambria" w:hAnsi="Cambria Math" w:cs="Cambria"/>
                <w:sz w:val="32"/>
                <w:szCs w:val="32"/>
              </w:rPr>
              <m:t>l</m:t>
            </m:r>
            <m:r>
              <m:rPr>
                <m:sty m:val="b"/>
              </m:rPr>
              <w:rPr>
                <w:rFonts w:ascii="Cambria Math" w:eastAsia="Cambria" w:hAnsi="Cambria Math" w:cs="Cambria"/>
                <w:sz w:val="32"/>
                <w:szCs w:val="32"/>
              </w:rPr>
              <m:t>’</m:t>
            </m:r>
            <m:r>
              <m:rPr>
                <m:sty m:val="b"/>
              </m:rPr>
              <w:rPr>
                <w:rFonts w:ascii="Cambria Math" w:eastAsia="Cambria" w:hAnsi="Cambria Math" w:cs="Cambria"/>
                <w:sz w:val="32"/>
                <w:szCs w:val="32"/>
              </w:rPr>
              <m:t>amendement</m:t>
            </m:r>
            <m:r>
              <m:rPr>
                <m:sty m:val="b"/>
              </m:rPr>
              <w:rPr>
                <w:rFonts w:ascii="Cambria Math" w:eastAsia="Cambria" w:hAnsi="Cambria Math" w:cs="Cambria"/>
                <w:sz w:val="32"/>
                <w:szCs w:val="32"/>
              </w:rPr>
              <m:t xml:space="preserve"> </m:t>
            </m:r>
            <m:r>
              <m:rPr>
                <m:sty m:val="b"/>
              </m:rPr>
              <w:rPr>
                <w:rFonts w:ascii="Cambria Math" w:eastAsia="Cambria" w:hAnsi="Cambria Math" w:cs="Cambria"/>
                <w:sz w:val="32"/>
                <w:szCs w:val="32"/>
              </w:rPr>
              <m:t>limit</m:t>
            </m:r>
            <m:r>
              <m:rPr>
                <m:sty m:val="b"/>
              </m:rPr>
              <w:rPr>
                <w:rFonts w:ascii="Cambria Math" w:eastAsia="Cambria" w:hAnsi="Cambria Math" w:cs="Cambria"/>
                <w:sz w:val="32"/>
                <w:szCs w:val="32"/>
              </w:rPr>
              <m:t>é</m:t>
            </m:r>
          </m:num>
          <m:den>
            <m:r>
              <m:rPr>
                <m:sty m:val="b"/>
              </m:rPr>
              <w:rPr>
                <w:rFonts w:ascii="Cambria Math" w:eastAsia="Cambria" w:hAnsi="Cambria Math" w:cs="Cambria"/>
                <w:sz w:val="32"/>
                <w:szCs w:val="32"/>
              </w:rPr>
              <m:t>SAU</m:t>
            </m:r>
          </m:den>
        </m:f>
      </m:oMath>
      <w:r w:rsidR="00CB31B4" w:rsidRPr="00122DF2">
        <w:rPr>
          <w:rFonts w:eastAsia="Cambria" w:cs="Cambria"/>
          <w:b/>
          <w:bCs/>
          <w:sz w:val="24"/>
          <w:szCs w:val="24"/>
        </w:rPr>
        <w:t xml:space="preserve"> X 100</w:t>
      </w:r>
    </w:p>
    <w:p w14:paraId="6A3FAFE0" w14:textId="77777777" w:rsidR="00CB31B4" w:rsidRPr="00122DF2" w:rsidRDefault="00CB31B4" w:rsidP="00CB31B4">
      <w:pPr>
        <w:spacing w:after="0" w:line="276" w:lineRule="auto"/>
        <w:jc w:val="both"/>
        <w:rPr>
          <w:rFonts w:eastAsia="Cambria" w:cs="Cambria"/>
        </w:rPr>
      </w:pPr>
    </w:p>
    <w:p w14:paraId="284B1764" w14:textId="77777777" w:rsidR="00CB31B4" w:rsidRPr="00122DF2" w:rsidRDefault="00CB31B4" w:rsidP="00CB31B4">
      <w:pPr>
        <w:spacing w:after="0" w:line="276" w:lineRule="auto"/>
        <w:jc w:val="both"/>
        <w:rPr>
          <w:rFonts w:eastAsia="Cambria" w:cs="Cambria"/>
        </w:rPr>
      </w:pPr>
      <w:r w:rsidRPr="00122DF2">
        <w:rPr>
          <w:rFonts w:eastAsia="Cambria" w:cs="Cambria"/>
        </w:rPr>
        <w:t>La note de l’exploitation est ensuite obtenue en se référant à la grille de notation de l’indicateur « zones humides » du territoire élaborée par l’opérateur (Cf. point 2 ci-dessous), qui fait correspondre la valeur intrinsèque de l’indicateur avec une note.</w:t>
      </w:r>
    </w:p>
    <w:p w14:paraId="63CD2A32" w14:textId="77777777" w:rsidR="00CB31B4" w:rsidRPr="00122DF2" w:rsidRDefault="00CB31B4" w:rsidP="00CB31B4">
      <w:pPr>
        <w:spacing w:after="0" w:line="276" w:lineRule="auto"/>
        <w:jc w:val="both"/>
        <w:rPr>
          <w:rFonts w:eastAsia="Cambria" w:cs="Cambria"/>
        </w:rPr>
      </w:pPr>
    </w:p>
    <w:p w14:paraId="50D8BC52" w14:textId="77777777" w:rsidR="00CB31B4" w:rsidRPr="00122DF2" w:rsidRDefault="00CB31B4" w:rsidP="00CB31B4">
      <w:pPr>
        <w:pStyle w:val="Standard"/>
        <w:jc w:val="both"/>
        <w:rPr>
          <w:rFonts w:asciiTheme="minorHAnsi" w:hAnsiTheme="minorHAnsi"/>
          <w:b/>
          <w:bCs/>
        </w:rPr>
      </w:pPr>
      <w:r w:rsidRPr="00122DF2">
        <w:rPr>
          <w:rFonts w:asciiTheme="minorHAnsi" w:hAnsiTheme="minorHAnsi"/>
          <w:b/>
          <w:bCs/>
        </w:rPr>
        <w:t>A - Définition de « prairies permanentes »</w:t>
      </w:r>
    </w:p>
    <w:p w14:paraId="25BD6ECE" w14:textId="77777777" w:rsidR="00CB31B4" w:rsidRPr="00122DF2" w:rsidRDefault="00CB31B4" w:rsidP="00CB31B4">
      <w:pPr>
        <w:pStyle w:val="Standard"/>
        <w:jc w:val="both"/>
        <w:rPr>
          <w:rFonts w:asciiTheme="minorHAnsi" w:hAnsiTheme="minorHAnsi"/>
        </w:rPr>
      </w:pPr>
      <w:r w:rsidRPr="00122DF2">
        <w:rPr>
          <w:rFonts w:asciiTheme="minorHAnsi" w:hAnsiTheme="minorHAnsi"/>
        </w:rPr>
        <w:t>Une prairie permanente</w:t>
      </w:r>
      <w:r w:rsidRPr="00122DF2">
        <w:rPr>
          <w:rFonts w:asciiTheme="minorHAnsi" w:hAnsiTheme="minorHAnsi"/>
          <w:b/>
          <w:bCs/>
        </w:rPr>
        <w:t xml:space="preserve"> </w:t>
      </w:r>
      <w:r w:rsidRPr="00122DF2">
        <w:rPr>
          <w:rFonts w:asciiTheme="minorHAnsi" w:hAnsiTheme="minorHAnsi"/>
        </w:rPr>
        <w:t xml:space="preserve">est une surface sur laquelle la ressource fourragère est présente depuis cinq années révolues ou plus, même si la surface a été labourée puis réensemencée. </w:t>
      </w:r>
    </w:p>
    <w:p w14:paraId="6F50A695" w14:textId="77777777" w:rsidR="00CB31B4" w:rsidRPr="00122DF2" w:rsidRDefault="00CB31B4" w:rsidP="00CB31B4">
      <w:pPr>
        <w:jc w:val="both"/>
      </w:pPr>
      <w:r w:rsidRPr="00122DF2">
        <w:t>Pour les agriculteurs qui sont déclarées à la PAC, cette caractérisation peut être facilement accessible au travers de leur déclaration PAC effectuée tous les ans avec le 15 mai. Il est ainsi recommandé de se baser sur la définition donnée dans la PAC pour identifier les prairies permanentes des PSE, même si ce cadre peut être amené à évoluer en cours de PSE (notamment entre deux programmations).</w:t>
      </w:r>
    </w:p>
    <w:p w14:paraId="0413827E" w14:textId="77777777" w:rsidR="00CB31B4" w:rsidRPr="00122DF2" w:rsidRDefault="00CB31B4" w:rsidP="00CB31B4">
      <w:pPr>
        <w:pStyle w:val="Standard"/>
        <w:spacing w:after="0"/>
        <w:jc w:val="both"/>
        <w:rPr>
          <w:rFonts w:asciiTheme="minorHAnsi" w:hAnsiTheme="minorHAnsi"/>
        </w:rPr>
      </w:pPr>
      <w:r w:rsidRPr="00122DF2">
        <w:rPr>
          <w:rFonts w:asciiTheme="minorHAnsi" w:hAnsiTheme="minorHAnsi"/>
        </w:rPr>
        <w:t>Conformément au guide d’admissibilité des surfaces, actualisé chaque année par le ministère de l’Agriculture, les surfaces admissibles en prairies permanentes dans la PAC sont les suivantes :</w:t>
      </w:r>
    </w:p>
    <w:p w14:paraId="7B81BFA9" w14:textId="77777777" w:rsidR="00CB31B4" w:rsidRPr="00122DF2" w:rsidRDefault="00CB31B4" w:rsidP="00CB31B4">
      <w:pPr>
        <w:pStyle w:val="Standard"/>
        <w:numPr>
          <w:ilvl w:val="0"/>
          <w:numId w:val="10"/>
        </w:numPr>
        <w:spacing w:after="0"/>
        <w:jc w:val="both"/>
        <w:rPr>
          <w:rFonts w:asciiTheme="minorHAnsi" w:hAnsiTheme="minorHAnsi"/>
        </w:rPr>
      </w:pPr>
      <w:r w:rsidRPr="00122DF2">
        <w:rPr>
          <w:rFonts w:asciiTheme="minorHAnsi" w:hAnsiTheme="minorHAnsi"/>
        </w:rPr>
        <w:t xml:space="preserve">les prairies pâturées ou les prairies de fauche, </w:t>
      </w:r>
      <w:r w:rsidRPr="00122DF2">
        <w:rPr>
          <w:rFonts w:asciiTheme="minorHAnsi" w:hAnsiTheme="minorHAnsi"/>
          <w:b/>
          <w:bCs/>
        </w:rPr>
        <w:t>codées PPH</w:t>
      </w:r>
      <w:r w:rsidRPr="00122DF2">
        <w:rPr>
          <w:rFonts w:asciiTheme="minorHAnsi" w:hAnsiTheme="minorHAnsi"/>
        </w:rPr>
        <w:t>, majoritairement en herbe, sur lesquelles la ressource fourragère ligneuse est absente ou peu présente ;</w:t>
      </w:r>
    </w:p>
    <w:p w14:paraId="3BA2B6D2" w14:textId="77777777" w:rsidR="00CB31B4" w:rsidRPr="00122DF2" w:rsidRDefault="00CB31B4" w:rsidP="00CB31B4">
      <w:pPr>
        <w:pStyle w:val="Standard"/>
        <w:numPr>
          <w:ilvl w:val="0"/>
          <w:numId w:val="10"/>
        </w:numPr>
        <w:spacing w:after="0"/>
        <w:jc w:val="both"/>
        <w:rPr>
          <w:rFonts w:asciiTheme="minorHAnsi" w:hAnsiTheme="minorHAnsi"/>
        </w:rPr>
      </w:pPr>
      <w:r w:rsidRPr="00122DF2">
        <w:rPr>
          <w:rFonts w:asciiTheme="minorHAnsi" w:hAnsiTheme="minorHAnsi"/>
        </w:rPr>
        <w:t xml:space="preserve">les surfaces pastorales herbacées, </w:t>
      </w:r>
      <w:r w:rsidRPr="00122DF2">
        <w:rPr>
          <w:rFonts w:asciiTheme="minorHAnsi" w:hAnsiTheme="minorHAnsi"/>
          <w:b/>
          <w:bCs/>
        </w:rPr>
        <w:t>codées SPH</w:t>
      </w:r>
      <w:r w:rsidRPr="00122DF2">
        <w:rPr>
          <w:rFonts w:asciiTheme="minorHAnsi" w:hAnsiTheme="minorHAnsi"/>
        </w:rPr>
        <w:t>, où la ressource fourragère inclut quelques ligneux mais où l’herbe reste majoritaire ;</w:t>
      </w:r>
    </w:p>
    <w:p w14:paraId="6C4C7D03" w14:textId="77777777" w:rsidR="00CB31B4" w:rsidRPr="00122DF2" w:rsidRDefault="00CB31B4" w:rsidP="00CB31B4">
      <w:pPr>
        <w:pStyle w:val="Standard"/>
        <w:numPr>
          <w:ilvl w:val="0"/>
          <w:numId w:val="10"/>
        </w:numPr>
        <w:spacing w:after="0"/>
        <w:jc w:val="both"/>
        <w:rPr>
          <w:rFonts w:asciiTheme="minorHAnsi" w:hAnsiTheme="minorHAnsi"/>
        </w:rPr>
      </w:pPr>
      <w:r w:rsidRPr="00122DF2">
        <w:rPr>
          <w:rFonts w:asciiTheme="minorHAnsi" w:hAnsiTheme="minorHAnsi"/>
        </w:rPr>
        <w:t xml:space="preserve">les surfaces pastorales majoritairement ligneuses, </w:t>
      </w:r>
      <w:r w:rsidRPr="00122DF2">
        <w:rPr>
          <w:rFonts w:asciiTheme="minorHAnsi" w:hAnsiTheme="minorHAnsi"/>
          <w:b/>
          <w:bCs/>
        </w:rPr>
        <w:t>codées SPL</w:t>
      </w:r>
      <w:r w:rsidRPr="00122DF2">
        <w:rPr>
          <w:rFonts w:asciiTheme="minorHAnsi" w:hAnsiTheme="minorHAnsi"/>
        </w:rPr>
        <w:t>, où la ressource fourragère inclut majoritairement des ligneux (uniquement dans 38 départements du Sud de la France listés dans le guide).</w:t>
      </w:r>
    </w:p>
    <w:p w14:paraId="4D64DD6A" w14:textId="77777777" w:rsidR="00CB31B4" w:rsidRPr="00122DF2" w:rsidRDefault="00CB31B4" w:rsidP="00CB31B4">
      <w:pPr>
        <w:pStyle w:val="Standard"/>
        <w:spacing w:after="0"/>
        <w:jc w:val="both"/>
        <w:rPr>
          <w:rFonts w:asciiTheme="minorHAnsi" w:hAnsiTheme="minorHAnsi"/>
        </w:rPr>
      </w:pPr>
    </w:p>
    <w:p w14:paraId="318F1921" w14:textId="77777777" w:rsidR="00CB31B4" w:rsidRPr="00122DF2" w:rsidRDefault="00CB31B4" w:rsidP="00CB31B4">
      <w:pPr>
        <w:pStyle w:val="Standard"/>
        <w:spacing w:after="0"/>
        <w:jc w:val="both"/>
        <w:rPr>
          <w:rFonts w:asciiTheme="minorHAnsi" w:hAnsiTheme="minorHAnsi"/>
          <w:b/>
          <w:bCs/>
        </w:rPr>
      </w:pPr>
      <w:r w:rsidRPr="00122DF2">
        <w:rPr>
          <w:rFonts w:asciiTheme="minorHAnsi" w:hAnsiTheme="minorHAnsi"/>
        </w:rPr>
        <w:lastRenderedPageBreak/>
        <w:t xml:space="preserve">Les </w:t>
      </w:r>
      <w:r w:rsidRPr="00122DF2">
        <w:rPr>
          <w:rFonts w:asciiTheme="minorHAnsi" w:hAnsiTheme="minorHAnsi"/>
          <w:b/>
          <w:bCs/>
        </w:rPr>
        <w:t>jachères, ainsi que les bandes tampons et les bordures ne sont pas admissibles</w:t>
      </w:r>
      <w:r w:rsidRPr="00122DF2">
        <w:rPr>
          <w:rFonts w:asciiTheme="minorHAnsi" w:hAnsiTheme="minorHAnsi"/>
        </w:rPr>
        <w:t xml:space="preserve"> en tant que prairies permanentes dans le PSE.</w:t>
      </w:r>
    </w:p>
    <w:p w14:paraId="59C3D6DC" w14:textId="77777777" w:rsidR="00CB31B4" w:rsidRPr="00122DF2" w:rsidRDefault="00CB31B4" w:rsidP="00CB31B4">
      <w:pPr>
        <w:pStyle w:val="Standard"/>
        <w:spacing w:after="0"/>
        <w:jc w:val="both"/>
        <w:rPr>
          <w:rFonts w:asciiTheme="minorHAnsi" w:hAnsiTheme="minorHAnsi"/>
        </w:rPr>
      </w:pPr>
    </w:p>
    <w:p w14:paraId="4916A7E3" w14:textId="77777777" w:rsidR="00CB31B4" w:rsidRPr="00122DF2" w:rsidRDefault="00CB31B4" w:rsidP="00CB31B4">
      <w:pPr>
        <w:pStyle w:val="Standard"/>
        <w:jc w:val="both"/>
        <w:rPr>
          <w:rFonts w:asciiTheme="minorHAnsi" w:hAnsiTheme="minorHAnsi"/>
          <w:b/>
          <w:bCs/>
        </w:rPr>
      </w:pPr>
      <w:r w:rsidRPr="00122DF2">
        <w:rPr>
          <w:rFonts w:asciiTheme="minorHAnsi" w:hAnsiTheme="minorHAnsi"/>
          <w:b/>
          <w:bCs/>
        </w:rPr>
        <w:t>B - Utilisation de produits phytosanitaires et de fertilisants </w:t>
      </w:r>
    </w:p>
    <w:p w14:paraId="053393DF" w14:textId="77777777" w:rsidR="00CB31B4" w:rsidRPr="00122DF2" w:rsidRDefault="00CB31B4" w:rsidP="00CB31B4">
      <w:pPr>
        <w:pStyle w:val="Standard"/>
        <w:spacing w:after="0"/>
        <w:jc w:val="both"/>
        <w:rPr>
          <w:rFonts w:asciiTheme="minorHAnsi" w:hAnsiTheme="minorHAnsi"/>
        </w:rPr>
      </w:pPr>
      <w:r w:rsidRPr="00122DF2">
        <w:rPr>
          <w:rFonts w:asciiTheme="minorHAnsi" w:hAnsiTheme="minorHAnsi"/>
        </w:rPr>
        <w:t>Dans le calcul de l’indicateur « Zones humides », seules les prairies permanentes ne recevant aucun produit phytosanitaire et un apport d’azote limité au maximum à 30 UN/ha (minéral et organique) ne seront comptabilisées .</w:t>
      </w:r>
    </w:p>
    <w:p w14:paraId="57C606B6" w14:textId="77777777" w:rsidR="00CB31B4" w:rsidRPr="00122DF2" w:rsidRDefault="00CB31B4" w:rsidP="00CB31B4">
      <w:pPr>
        <w:pStyle w:val="Titre2"/>
        <w:numPr>
          <w:ilvl w:val="0"/>
          <w:numId w:val="11"/>
        </w:numPr>
        <w:rPr>
          <w:rFonts w:asciiTheme="minorHAnsi" w:hAnsiTheme="minorHAnsi"/>
        </w:rPr>
      </w:pPr>
      <w:bookmarkStart w:id="14" w:name="_Toc220428531"/>
      <w:r w:rsidRPr="00122DF2">
        <w:rPr>
          <w:rFonts w:asciiTheme="minorHAnsi" w:hAnsiTheme="minorHAnsi"/>
        </w:rPr>
        <w:t>Création de la grille de notation</w:t>
      </w:r>
      <w:bookmarkEnd w:id="14"/>
      <w:r w:rsidRPr="00122DF2">
        <w:rPr>
          <w:rFonts w:asciiTheme="minorHAnsi" w:hAnsiTheme="minorHAnsi"/>
        </w:rPr>
        <w:t> </w:t>
      </w:r>
    </w:p>
    <w:p w14:paraId="083E3407" w14:textId="77777777" w:rsidR="00CB31B4" w:rsidRPr="00122DF2" w:rsidRDefault="00CB31B4" w:rsidP="00CB31B4">
      <w:pPr>
        <w:spacing w:after="200" w:line="276" w:lineRule="auto"/>
        <w:jc w:val="both"/>
      </w:pPr>
      <w:r w:rsidRPr="00122DF2">
        <w:t xml:space="preserve">La note minimale de la grille de notation (0) correspond à la moyenne ou la médiane de la valeur intrinsèque de l’indicateur « zones humides » issue du diagnostic agricole territorial. </w:t>
      </w:r>
    </w:p>
    <w:p w14:paraId="555EA6A4" w14:textId="77777777" w:rsidR="00CB31B4" w:rsidRPr="00122DF2" w:rsidRDefault="00CB31B4" w:rsidP="00CB31B4">
      <w:pPr>
        <w:jc w:val="both"/>
      </w:pPr>
      <w:r w:rsidRPr="00122DF2">
        <w:t>La note maximale de la grille de notation (10) correspond à un service environnemental maximum à définir pour le territoire.</w:t>
      </w:r>
    </w:p>
    <w:p w14:paraId="2B2BC0F7" w14:textId="77777777" w:rsidR="00CB31B4" w:rsidRPr="00122DF2" w:rsidRDefault="00CB31B4" w:rsidP="00CB31B4">
      <w:pPr>
        <w:jc w:val="both"/>
      </w:pPr>
      <w:r w:rsidRPr="00122DF2">
        <w:t>Une échelle de notation linéaire n’est pas obligatoire, afin de favoriser par exemple certains seuils d’efforts.</w:t>
      </w:r>
    </w:p>
    <w:p w14:paraId="48967FF9" w14:textId="77777777" w:rsidR="00CB31B4" w:rsidRPr="00122DF2" w:rsidRDefault="00CB31B4" w:rsidP="00CB31B4">
      <w:pPr>
        <w:jc w:val="both"/>
      </w:pPr>
    </w:p>
    <w:p w14:paraId="57E7E6F5" w14:textId="1986E116" w:rsidR="00CB31B4" w:rsidRPr="00122DF2" w:rsidRDefault="00CB31B4">
      <w:r w:rsidRPr="00122DF2">
        <w:br w:type="page"/>
      </w:r>
    </w:p>
    <w:p w14:paraId="62D17FC3" w14:textId="77777777" w:rsidR="00CB31B4" w:rsidRPr="00122DF2" w:rsidRDefault="00CB31B4" w:rsidP="00CB31B4">
      <w:pPr>
        <w:pStyle w:val="Titre"/>
        <w:spacing w:after="300"/>
        <w:jc w:val="center"/>
        <w:rPr>
          <w:rFonts w:asciiTheme="minorHAnsi" w:eastAsia="Calibri" w:hAnsiTheme="minorHAnsi" w:cs="Calibri"/>
          <w:color w:val="0E2841" w:themeColor="text2"/>
          <w:sz w:val="16"/>
          <w:szCs w:val="16"/>
        </w:rPr>
      </w:pPr>
    </w:p>
    <w:p w14:paraId="2CF66444" w14:textId="23FDFECC" w:rsidR="00122DF2" w:rsidRPr="00122DF2" w:rsidRDefault="00122DF2" w:rsidP="00122DF2">
      <w:pPr>
        <w:pStyle w:val="Titre"/>
        <w:spacing w:after="300"/>
        <w:jc w:val="center"/>
        <w:rPr>
          <w:rFonts w:asciiTheme="minorHAnsi" w:hAnsiTheme="minorHAnsi"/>
          <w:color w:val="002060"/>
        </w:rPr>
      </w:pPr>
      <w:r w:rsidRPr="00122DF2">
        <w:rPr>
          <w:rFonts w:asciiTheme="minorHAnsi" w:eastAsia="Calibri" w:hAnsiTheme="minorHAnsi" w:cs="Calibri"/>
          <w:color w:val="002060"/>
          <w:sz w:val="52"/>
          <w:szCs w:val="52"/>
        </w:rPr>
        <w:t>FICHE INDICATEUR D’EXPLOITATION N°</w:t>
      </w:r>
      <w:r w:rsidR="004C50AB">
        <w:rPr>
          <w:rFonts w:asciiTheme="minorHAnsi" w:eastAsia="Calibri" w:hAnsiTheme="minorHAnsi" w:cs="Calibri"/>
          <w:color w:val="002060"/>
          <w:sz w:val="52"/>
          <w:szCs w:val="52"/>
        </w:rPr>
        <w:t>5</w:t>
      </w:r>
    </w:p>
    <w:p w14:paraId="28FC4839" w14:textId="77777777" w:rsidR="00CB31B4" w:rsidRPr="00122DF2" w:rsidRDefault="00CB31B4" w:rsidP="00626C29">
      <w:pPr>
        <w:pStyle w:val="Titre1"/>
        <w:rPr>
          <w:rFonts w:asciiTheme="minorHAnsi" w:eastAsia="Calibri" w:hAnsiTheme="minorHAnsi"/>
        </w:rPr>
      </w:pPr>
      <w:bookmarkStart w:id="15" w:name="_Toc220428532"/>
      <w:r w:rsidRPr="00122DF2">
        <w:rPr>
          <w:rFonts w:asciiTheme="minorHAnsi" w:eastAsia="Calibri" w:hAnsiTheme="minorHAnsi"/>
        </w:rPr>
        <w:t>Indicateur « Eau dans le sol »</w:t>
      </w:r>
      <w:bookmarkEnd w:id="15"/>
    </w:p>
    <w:p w14:paraId="41E5579B" w14:textId="77777777" w:rsidR="00CB31B4" w:rsidRPr="00122DF2" w:rsidRDefault="00CB31B4" w:rsidP="00CB31B4"/>
    <w:p w14:paraId="165EB2BF" w14:textId="77777777" w:rsidR="00CB31B4" w:rsidRPr="00122DF2" w:rsidRDefault="00CB31B4" w:rsidP="00CB31B4">
      <w:pPr>
        <w:spacing w:after="200" w:line="276" w:lineRule="auto"/>
        <w:jc w:val="both"/>
        <w:rPr>
          <w:rFonts w:eastAsia="Cambria" w:cs="Cambria"/>
        </w:rPr>
      </w:pPr>
      <w:r w:rsidRPr="00122DF2">
        <w:rPr>
          <w:rFonts w:eastAsia="Aptos" w:cs="Aptos"/>
        </w:rPr>
        <w:t xml:space="preserve">Cet indicateur </w:t>
      </w:r>
      <w:r w:rsidRPr="00122DF2">
        <w:rPr>
          <w:rFonts w:eastAsia="Cambria" w:cs="Cambria"/>
        </w:rPr>
        <w:t>vise à quantifier le pourcentage de couverture du sol des exploitations agricoles engagées dans un PSE poursuivant l’objectif d’une meilleure infiltration de « l’eau dans le sol ».</w:t>
      </w:r>
    </w:p>
    <w:p w14:paraId="49FC1045" w14:textId="77777777" w:rsidR="00CB31B4" w:rsidRPr="00122DF2" w:rsidRDefault="00CB31B4" w:rsidP="00CB31B4"/>
    <w:p w14:paraId="6608FA76" w14:textId="1FE4321F" w:rsidR="00CB31B4" w:rsidRPr="00122DF2" w:rsidRDefault="00CB31B4" w:rsidP="00C567D2">
      <w:pPr>
        <w:pStyle w:val="Titre2"/>
        <w:numPr>
          <w:ilvl w:val="0"/>
          <w:numId w:val="14"/>
        </w:numPr>
        <w:rPr>
          <w:rFonts w:asciiTheme="minorHAnsi" w:hAnsiTheme="minorHAnsi"/>
        </w:rPr>
      </w:pPr>
      <w:bookmarkStart w:id="16" w:name="_Toc220428533"/>
      <w:r w:rsidRPr="00122DF2">
        <w:rPr>
          <w:rFonts w:asciiTheme="minorHAnsi" w:hAnsiTheme="minorHAnsi"/>
        </w:rPr>
        <w:t>Calcul de la note de l’indicateur d’exploitation</w:t>
      </w:r>
      <w:bookmarkEnd w:id="16"/>
    </w:p>
    <w:p w14:paraId="4201F86F" w14:textId="77777777" w:rsidR="00CB31B4" w:rsidRPr="00122DF2" w:rsidRDefault="00CB31B4" w:rsidP="00CB31B4">
      <w:pPr>
        <w:spacing w:after="200" w:line="276" w:lineRule="auto"/>
        <w:jc w:val="both"/>
        <w:rPr>
          <w:rFonts w:eastAsia="Aptos" w:cs="Aptos"/>
        </w:rPr>
      </w:pPr>
      <w:r w:rsidRPr="00122DF2">
        <w:rPr>
          <w:rFonts w:eastAsia="Aptos" w:cs="Aptos"/>
        </w:rPr>
        <w:t>L’indicateur portant sur le pourcentage de couverture des sols permet d’évaluer les bénéfices environnementaux pour :</w:t>
      </w:r>
    </w:p>
    <w:p w14:paraId="60A48EB1"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rétention de l’eau dans les sols,</w:t>
      </w:r>
    </w:p>
    <w:p w14:paraId="240315D6"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prévention de l’érosion des sols,</w:t>
      </w:r>
    </w:p>
    <w:p w14:paraId="25697E0C"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réduction des pollutions diffuses,</w:t>
      </w:r>
    </w:p>
    <w:p w14:paraId="5B155AE3"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le stockage de carbone,</w:t>
      </w:r>
    </w:p>
    <w:p w14:paraId="5D4CB012"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biodiversité.</w:t>
      </w:r>
    </w:p>
    <w:p w14:paraId="724CD1C1" w14:textId="77777777" w:rsidR="00CB31B4" w:rsidRPr="00122DF2" w:rsidRDefault="00CB31B4" w:rsidP="00CB31B4">
      <w:pPr>
        <w:spacing w:after="0" w:line="276" w:lineRule="auto"/>
        <w:jc w:val="both"/>
      </w:pPr>
      <w:r w:rsidRPr="00122DF2">
        <w:t xml:space="preserve">La valeur intrinsèque de l’indicateur « eau dans le sol » est défini de la façon suivante : </w:t>
      </w:r>
    </w:p>
    <w:p w14:paraId="0817D31A" w14:textId="77777777" w:rsidR="00CB31B4" w:rsidRPr="00122DF2" w:rsidRDefault="00CB31B4" w:rsidP="00CB31B4">
      <w:pPr>
        <w:spacing w:after="0" w:line="276" w:lineRule="auto"/>
        <w:jc w:val="both"/>
      </w:pPr>
    </w:p>
    <w:p w14:paraId="150A34D6" w14:textId="77777777" w:rsidR="00CB31B4" w:rsidRPr="00122DF2" w:rsidRDefault="00CB31B4" w:rsidP="00CB31B4">
      <w:pPr>
        <w:spacing w:after="0" w:line="276" w:lineRule="auto"/>
        <w:jc w:val="both"/>
      </w:pPr>
      <w:r w:rsidRPr="00122DF2">
        <w:t xml:space="preserve">A – sur </w:t>
      </w:r>
      <w:r w:rsidRPr="00122DF2">
        <w:rPr>
          <w:b/>
          <w:bCs/>
        </w:rPr>
        <w:t>chaque parcelle cultivée</w:t>
      </w:r>
      <w:r w:rsidRPr="00122DF2">
        <w:t xml:space="preserve"> </w:t>
      </w:r>
      <w:r w:rsidRPr="00122DF2">
        <w:rPr>
          <w:b/>
          <w:bCs/>
        </w:rPr>
        <w:t xml:space="preserve">(ou îlot PAC) </w:t>
      </w:r>
      <w:r w:rsidRPr="00122DF2">
        <w:t xml:space="preserve">de l’exploitation, il faut calculer par année le ratio suivant : </w:t>
      </w:r>
    </w:p>
    <w:p w14:paraId="4399A58C" w14:textId="77777777" w:rsidR="00CB31B4" w:rsidRPr="00122DF2" w:rsidRDefault="002841D0" w:rsidP="00CB31B4">
      <w:pPr>
        <w:spacing w:after="0"/>
        <w:jc w:val="center"/>
        <w:rPr>
          <w:sz w:val="56"/>
          <w:szCs w:val="56"/>
        </w:rPr>
      </w:pPr>
      <m:oMath>
        <m:f>
          <m:fPr>
            <m:ctrlPr>
              <w:rPr>
                <w:rFonts w:ascii="Cambria Math" w:hAnsi="Cambria Math"/>
                <w:b/>
                <w:bCs/>
                <w:i/>
                <w:sz w:val="32"/>
                <w:szCs w:val="32"/>
              </w:rPr>
            </m:ctrlPr>
          </m:fPr>
          <m:num>
            <m:r>
              <m:rPr>
                <m:sty m:val="b"/>
              </m:rPr>
              <w:rPr>
                <w:rFonts w:ascii="Cambria Math" w:hAnsi="Cambria Math"/>
                <w:sz w:val="32"/>
                <w:szCs w:val="32"/>
              </w:rPr>
              <m:t>nombre</m:t>
            </m:r>
            <m:r>
              <m:rPr>
                <m:sty m:val="b"/>
              </m:rPr>
              <w:rPr>
                <w:rFonts w:ascii="Cambria Math" w:hAnsi="Cambria Math"/>
                <w:sz w:val="32"/>
                <w:szCs w:val="32"/>
              </w:rPr>
              <m:t xml:space="preserve"> </m:t>
            </m:r>
            <m:r>
              <m:rPr>
                <m:sty m:val="b"/>
              </m:rPr>
              <w:rPr>
                <w:rFonts w:ascii="Cambria Math" w:hAnsi="Cambria Math"/>
                <w:sz w:val="32"/>
                <w:szCs w:val="32"/>
              </w:rPr>
              <m:t>de</m:t>
            </m:r>
            <m:r>
              <m:rPr>
                <m:sty m:val="b"/>
              </m:rPr>
              <w:rPr>
                <w:rFonts w:ascii="Cambria Math" w:hAnsi="Cambria Math"/>
                <w:sz w:val="32"/>
                <w:szCs w:val="32"/>
              </w:rPr>
              <m:t xml:space="preserve"> </m:t>
            </m:r>
            <m:r>
              <m:rPr>
                <m:sty m:val="b"/>
              </m:rPr>
              <w:rPr>
                <w:rFonts w:ascii="Cambria Math" w:hAnsi="Cambria Math"/>
                <w:sz w:val="32"/>
                <w:szCs w:val="32"/>
              </w:rPr>
              <m:t>jours</m:t>
            </m:r>
            <m:r>
              <m:rPr>
                <m:sty m:val="b"/>
              </m:rPr>
              <w:rPr>
                <w:rFonts w:ascii="Cambria Math" w:hAnsi="Cambria Math"/>
                <w:sz w:val="32"/>
                <w:szCs w:val="32"/>
              </w:rPr>
              <m:t xml:space="preserve"> </m:t>
            </m:r>
            <m:r>
              <m:rPr>
                <m:sty m:val="b"/>
              </m:rPr>
              <w:rPr>
                <w:rFonts w:ascii="Cambria Math" w:hAnsi="Cambria Math"/>
                <w:sz w:val="32"/>
                <w:szCs w:val="32"/>
              </w:rPr>
              <m:t>de</m:t>
            </m:r>
            <m:r>
              <m:rPr>
                <m:sty m:val="b"/>
              </m:rPr>
              <w:rPr>
                <w:rFonts w:ascii="Cambria Math" w:hAnsi="Cambria Math"/>
                <w:sz w:val="32"/>
                <w:szCs w:val="32"/>
              </w:rPr>
              <m:t xml:space="preserve"> </m:t>
            </m:r>
            <m:r>
              <m:rPr>
                <m:sty m:val="b"/>
              </m:rPr>
              <w:rPr>
                <w:rFonts w:ascii="Cambria Math" w:hAnsi="Cambria Math"/>
                <w:sz w:val="32"/>
                <w:szCs w:val="32"/>
              </w:rPr>
              <m:t>couverture</m:t>
            </m:r>
            <m:r>
              <m:rPr>
                <m:sty m:val="b"/>
              </m:rPr>
              <w:rPr>
                <w:rFonts w:ascii="Cambria Math" w:hAnsi="Cambria Math"/>
                <w:sz w:val="32"/>
                <w:szCs w:val="32"/>
              </w:rPr>
              <m:t xml:space="preserve"> </m:t>
            </m:r>
            <m:r>
              <m:rPr>
                <m:sty m:val="b"/>
              </m:rPr>
              <w:rPr>
                <w:rFonts w:ascii="Cambria Math" w:hAnsi="Cambria Math"/>
                <w:sz w:val="32"/>
                <w:szCs w:val="32"/>
              </w:rPr>
              <m:t>v</m:t>
            </m:r>
            <m:r>
              <m:rPr>
                <m:sty m:val="b"/>
              </m:rPr>
              <w:rPr>
                <w:rFonts w:ascii="Cambria Math" w:hAnsi="Cambria Math"/>
                <w:sz w:val="32"/>
                <w:szCs w:val="32"/>
              </w:rPr>
              <m:t>é</m:t>
            </m:r>
            <m:r>
              <m:rPr>
                <m:sty m:val="b"/>
              </m:rPr>
              <w:rPr>
                <w:rFonts w:ascii="Cambria Math" w:hAnsi="Cambria Math"/>
                <w:sz w:val="32"/>
                <w:szCs w:val="32"/>
              </w:rPr>
              <m:t>g</m:t>
            </m:r>
            <m:r>
              <m:rPr>
                <m:sty m:val="b"/>
              </m:rPr>
              <w:rPr>
                <w:rFonts w:ascii="Cambria Math" w:hAnsi="Cambria Math"/>
                <w:sz w:val="32"/>
                <w:szCs w:val="32"/>
              </w:rPr>
              <m:t>é</m:t>
            </m:r>
            <m:r>
              <m:rPr>
                <m:sty m:val="b"/>
              </m:rPr>
              <w:rPr>
                <w:rFonts w:ascii="Cambria Math" w:hAnsi="Cambria Math"/>
                <w:sz w:val="32"/>
                <w:szCs w:val="32"/>
              </w:rPr>
              <m:t>tale</m:t>
            </m:r>
            <m:r>
              <m:rPr>
                <m:sty m:val="b"/>
              </m:rPr>
              <w:rPr>
                <w:rFonts w:ascii="Cambria Math" w:hAnsi="Cambria Math"/>
                <w:sz w:val="32"/>
                <w:szCs w:val="32"/>
              </w:rPr>
              <m:t xml:space="preserve"> </m:t>
            </m:r>
            <m:r>
              <m:rPr>
                <m:sty m:val="b"/>
              </m:rPr>
              <w:rPr>
                <w:rFonts w:ascii="Cambria Math" w:hAnsi="Cambria Math"/>
                <w:sz w:val="32"/>
                <w:szCs w:val="32"/>
              </w:rPr>
              <m:t>du</m:t>
            </m:r>
            <m:r>
              <m:rPr>
                <m:sty m:val="b"/>
              </m:rPr>
              <w:rPr>
                <w:rFonts w:ascii="Cambria Math" w:hAnsi="Cambria Math"/>
                <w:sz w:val="32"/>
                <w:szCs w:val="32"/>
              </w:rPr>
              <m:t xml:space="preserve"> </m:t>
            </m:r>
            <m:r>
              <m:rPr>
                <m:sty m:val="b"/>
              </m:rPr>
              <w:rPr>
                <w:rFonts w:ascii="Cambria Math" w:hAnsi="Cambria Math"/>
                <w:sz w:val="32"/>
                <w:szCs w:val="32"/>
              </w:rPr>
              <m:t>sol</m:t>
            </m:r>
          </m:num>
          <m:den>
            <m:r>
              <m:rPr>
                <m:sty m:val="b"/>
              </m:rPr>
              <w:rPr>
                <w:rFonts w:ascii="Cambria Math" w:hAnsi="Cambria Math"/>
                <w:sz w:val="32"/>
                <w:szCs w:val="32"/>
              </w:rPr>
              <m:t>nombre</m:t>
            </m:r>
            <m:r>
              <m:rPr>
                <m:sty m:val="b"/>
              </m:rPr>
              <w:rPr>
                <w:rFonts w:ascii="Cambria Math" w:hAnsi="Cambria Math"/>
                <w:sz w:val="32"/>
                <w:szCs w:val="32"/>
              </w:rPr>
              <m:t xml:space="preserve"> </m:t>
            </m:r>
            <m:r>
              <m:rPr>
                <m:sty m:val="b"/>
              </m:rPr>
              <w:rPr>
                <w:rFonts w:ascii="Cambria Math" w:hAnsi="Cambria Math"/>
                <w:sz w:val="32"/>
                <w:szCs w:val="32"/>
              </w:rPr>
              <m:t>de</m:t>
            </m:r>
            <m:r>
              <m:rPr>
                <m:sty m:val="b"/>
              </m:rPr>
              <w:rPr>
                <w:rFonts w:ascii="Cambria Math" w:hAnsi="Cambria Math"/>
                <w:sz w:val="32"/>
                <w:szCs w:val="32"/>
              </w:rPr>
              <m:t xml:space="preserve"> </m:t>
            </m:r>
            <m:r>
              <m:rPr>
                <m:sty m:val="b"/>
              </m:rPr>
              <w:rPr>
                <w:rFonts w:ascii="Cambria Math" w:hAnsi="Cambria Math"/>
                <w:sz w:val="32"/>
                <w:szCs w:val="32"/>
              </w:rPr>
              <m:t>jours</m:t>
            </m:r>
            <m:r>
              <m:rPr>
                <m:sty m:val="b"/>
              </m:rPr>
              <w:rPr>
                <w:rFonts w:ascii="Cambria Math" w:hAnsi="Cambria Math"/>
                <w:sz w:val="32"/>
                <w:szCs w:val="32"/>
              </w:rPr>
              <m:t xml:space="preserve"> </m:t>
            </m:r>
            <m:r>
              <m:rPr>
                <m:sty m:val="b"/>
              </m:rPr>
              <w:rPr>
                <w:rFonts w:ascii="Cambria Math" w:hAnsi="Cambria Math"/>
                <w:sz w:val="32"/>
                <w:szCs w:val="32"/>
              </w:rPr>
              <m:t>total</m:t>
            </m:r>
            <m:r>
              <m:rPr>
                <m:sty m:val="b"/>
              </m:rPr>
              <w:rPr>
                <w:rFonts w:ascii="Cambria Math" w:hAnsi="Cambria Math"/>
                <w:sz w:val="32"/>
                <w:szCs w:val="32"/>
              </w:rPr>
              <m:t xml:space="preserve"> </m:t>
            </m:r>
            <m:r>
              <m:rPr>
                <m:sty m:val="b"/>
              </m:rPr>
              <w:rPr>
                <w:rFonts w:ascii="Cambria Math" w:hAnsi="Cambria Math"/>
                <w:sz w:val="32"/>
                <w:szCs w:val="32"/>
              </w:rPr>
              <m:t>de</m:t>
            </m:r>
            <m:r>
              <m:rPr>
                <m:sty m:val="b"/>
              </m:rPr>
              <w:rPr>
                <w:rFonts w:ascii="Cambria Math" w:hAnsi="Cambria Math"/>
                <w:sz w:val="32"/>
                <w:szCs w:val="32"/>
              </w:rPr>
              <m:t xml:space="preserve"> </m:t>
            </m:r>
            <m:r>
              <m:rPr>
                <m:sty m:val="b"/>
              </m:rPr>
              <w:rPr>
                <w:rFonts w:ascii="Cambria Math" w:hAnsi="Cambria Math"/>
                <w:sz w:val="32"/>
                <w:szCs w:val="32"/>
              </w:rPr>
              <m:t>r</m:t>
            </m:r>
            <m:r>
              <m:rPr>
                <m:sty m:val="b"/>
              </m:rPr>
              <w:rPr>
                <w:rFonts w:ascii="Cambria Math" w:hAnsi="Cambria Math"/>
                <w:sz w:val="32"/>
                <w:szCs w:val="32"/>
              </w:rPr>
              <m:t>é</m:t>
            </m:r>
            <m:r>
              <m:rPr>
                <m:sty m:val="b"/>
              </m:rPr>
              <w:rPr>
                <w:rFonts w:ascii="Cambria Math" w:hAnsi="Cambria Math"/>
                <w:sz w:val="32"/>
                <w:szCs w:val="32"/>
              </w:rPr>
              <m:t>f</m:t>
            </m:r>
            <m:r>
              <m:rPr>
                <m:sty m:val="b"/>
              </m:rPr>
              <w:rPr>
                <w:rFonts w:ascii="Cambria Math" w:hAnsi="Cambria Math"/>
                <w:sz w:val="32"/>
                <w:szCs w:val="32"/>
              </w:rPr>
              <m:t>é</m:t>
            </m:r>
            <m:r>
              <m:rPr>
                <m:sty m:val="b"/>
              </m:rPr>
              <w:rPr>
                <w:rFonts w:ascii="Cambria Math" w:hAnsi="Cambria Math"/>
                <w:sz w:val="32"/>
                <w:szCs w:val="32"/>
              </w:rPr>
              <m:t>rence</m:t>
            </m:r>
          </m:den>
        </m:f>
      </m:oMath>
      <w:r w:rsidR="00CB31B4" w:rsidRPr="00122DF2">
        <w:rPr>
          <w:rFonts w:eastAsiaTheme="minorEastAsia"/>
          <w:b/>
          <w:bCs/>
          <w:sz w:val="32"/>
          <w:szCs w:val="32"/>
        </w:rPr>
        <w:t xml:space="preserve"> = % CS</w:t>
      </w:r>
    </w:p>
    <w:p w14:paraId="7870C159" w14:textId="77777777" w:rsidR="00CB31B4" w:rsidRPr="00122DF2" w:rsidRDefault="00CB31B4" w:rsidP="00CB31B4">
      <w:pPr>
        <w:spacing w:after="0" w:line="276" w:lineRule="auto"/>
        <w:jc w:val="both"/>
      </w:pPr>
    </w:p>
    <w:p w14:paraId="18B67D34" w14:textId="77777777" w:rsidR="00CB31B4" w:rsidRPr="00122DF2" w:rsidRDefault="00CB31B4" w:rsidP="00CB31B4">
      <w:pPr>
        <w:spacing w:after="200" w:line="276" w:lineRule="auto"/>
        <w:ind w:left="709"/>
        <w:jc w:val="both"/>
        <w:rPr>
          <w:rFonts w:eastAsia="Aptos" w:cs="Aptos"/>
          <w:u w:val="single"/>
        </w:rPr>
      </w:pPr>
      <w:r w:rsidRPr="00122DF2">
        <w:rPr>
          <w:rFonts w:eastAsia="Aptos" w:cs="Aptos"/>
          <w:u w:val="single"/>
        </w:rPr>
        <w:t>A – 1 Définition du nombre de jours total de référence</w:t>
      </w:r>
    </w:p>
    <w:p w14:paraId="2BEDEFC3" w14:textId="77777777" w:rsidR="00CB31B4" w:rsidRPr="00122DF2" w:rsidRDefault="00CB31B4" w:rsidP="00CB31B4">
      <w:pPr>
        <w:spacing w:after="200" w:line="276" w:lineRule="auto"/>
        <w:jc w:val="both"/>
        <w:rPr>
          <w:rFonts w:eastAsia="Aptos" w:cs="Aptos"/>
        </w:rPr>
      </w:pPr>
      <w:r w:rsidRPr="00122DF2">
        <w:rPr>
          <w:rFonts w:eastAsia="Aptos" w:cs="Aptos"/>
        </w:rPr>
        <w:t xml:space="preserve">Cette durée de référence est, à la base, de 365 jours mais elle peut diminuer en fonction des règlementations. </w:t>
      </w:r>
    </w:p>
    <w:p w14:paraId="6213C456" w14:textId="77777777" w:rsidR="00CB31B4" w:rsidRPr="00122DF2" w:rsidRDefault="00CB31B4" w:rsidP="00CB31B4">
      <w:pPr>
        <w:spacing w:after="0" w:line="276" w:lineRule="auto"/>
        <w:jc w:val="both"/>
        <w:rPr>
          <w:rFonts w:eastAsia="Aptos" w:cs="Aptos"/>
        </w:rPr>
      </w:pPr>
      <w:r w:rsidRPr="00122DF2">
        <w:rPr>
          <w:rFonts w:eastAsia="Aptos" w:cs="Aptos"/>
        </w:rPr>
        <w:t xml:space="preserve">Pour les terres arables, le nombre de jours de couverture végétale pris en compte dans le calcul de la valeur intrinsèque de l’indicateur « eau dans le sol » doit aller au-delà des exigences réglementaires notamment celles de la BCAE6 et celles de la directive nitrates pour les territoires concernés, cela impacte aussi la valeur du nombre de jours total de référence : </w:t>
      </w:r>
    </w:p>
    <w:p w14:paraId="2B5FEF6F"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BCAE6 stipule que pour les intercultures longues, une couverture végétale doit désormais être mise en place après la récolte pendant une période de six semaines au choix de l’exploitant entre le 1</w:t>
      </w:r>
      <w:r w:rsidRPr="00122DF2">
        <w:rPr>
          <w:rFonts w:eastAsia="Aptos" w:cs="Aptos"/>
          <w:vertAlign w:val="superscript"/>
        </w:rPr>
        <w:t>er</w:t>
      </w:r>
      <w:r w:rsidRPr="00122DF2">
        <w:rPr>
          <w:rFonts w:eastAsia="Aptos" w:cs="Aptos"/>
        </w:rPr>
        <w:t xml:space="preserve"> septembre et le 30 novembre. </w:t>
      </w:r>
    </w:p>
    <w:p w14:paraId="1A714726" w14:textId="77777777" w:rsidR="00CB31B4" w:rsidRPr="00122DF2" w:rsidRDefault="00CB31B4" w:rsidP="00CB31B4">
      <w:pPr>
        <w:pStyle w:val="Paragraphedeliste"/>
        <w:spacing w:after="200" w:line="276" w:lineRule="auto"/>
        <w:jc w:val="both"/>
        <w:rPr>
          <w:rFonts w:eastAsia="Aptos" w:cs="Aptos"/>
        </w:rPr>
      </w:pPr>
      <w:r w:rsidRPr="00122DF2">
        <w:rPr>
          <w:rFonts w:eastAsia="Aptos" w:cs="Aptos"/>
        </w:rPr>
        <w:t xml:space="preserve">Pour les parcelles concernées, le nombre total de jours de référence sera donc de 323 jours (365 jours – 42 jours) au dénominateur et le nombre de jours de couverture végétale </w:t>
      </w:r>
      <w:r w:rsidRPr="00122DF2">
        <w:rPr>
          <w:rFonts w:eastAsia="Aptos" w:cs="Aptos"/>
        </w:rPr>
        <w:lastRenderedPageBreak/>
        <w:t>devra également être diminué de 6 semaines (42 jours) si une couverture végétale est présente du 1</w:t>
      </w:r>
      <w:r w:rsidRPr="00122DF2">
        <w:rPr>
          <w:rFonts w:eastAsia="Aptos" w:cs="Aptos"/>
          <w:vertAlign w:val="superscript"/>
        </w:rPr>
        <w:t>er</w:t>
      </w:r>
      <w:r w:rsidRPr="00122DF2">
        <w:rPr>
          <w:rFonts w:eastAsia="Aptos" w:cs="Aptos"/>
        </w:rPr>
        <w:t xml:space="preserve"> septembre au 30 novembre (cf. point A-2),  </w:t>
      </w:r>
    </w:p>
    <w:p w14:paraId="06C33DC5"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 xml:space="preserve">Si le territoire PSE est fortement concerné par le zonage nitrates, par mesure de simplification, cet indicateur « eau dans le sol » n’est pas conseillé. </w:t>
      </w:r>
    </w:p>
    <w:p w14:paraId="36F511BA" w14:textId="77777777" w:rsidR="00CB31B4" w:rsidRPr="00122DF2" w:rsidRDefault="00CB31B4" w:rsidP="00CB31B4">
      <w:pPr>
        <w:spacing w:after="200" w:line="276" w:lineRule="auto"/>
        <w:ind w:left="709"/>
        <w:jc w:val="both"/>
        <w:rPr>
          <w:rFonts w:eastAsia="Aptos" w:cs="Aptos"/>
          <w:u w:val="single"/>
        </w:rPr>
      </w:pPr>
      <w:r w:rsidRPr="00122DF2">
        <w:rPr>
          <w:rFonts w:eastAsia="Aptos" w:cs="Aptos"/>
          <w:u w:val="single"/>
        </w:rPr>
        <w:t>A – 2 Calcul du nombre de jours de couverture du sol</w:t>
      </w:r>
    </w:p>
    <w:p w14:paraId="72B5D180" w14:textId="77777777" w:rsidR="00CB31B4" w:rsidRPr="00122DF2" w:rsidRDefault="00CB31B4" w:rsidP="00CB31B4">
      <w:pPr>
        <w:spacing w:after="200" w:line="276" w:lineRule="auto"/>
        <w:jc w:val="both"/>
        <w:rPr>
          <w:rFonts w:eastAsia="Aptos" w:cs="Aptos"/>
        </w:rPr>
      </w:pPr>
      <w:r w:rsidRPr="00122DF2">
        <w:rPr>
          <w:rFonts w:eastAsia="Aptos" w:cs="Aptos"/>
        </w:rPr>
        <w:t xml:space="preserve">Pour les </w:t>
      </w:r>
      <w:r w:rsidRPr="00122DF2">
        <w:rPr>
          <w:rFonts w:eastAsia="Aptos" w:cs="Aptos"/>
          <w:b/>
          <w:bCs/>
        </w:rPr>
        <w:t>cultures annuelles</w:t>
      </w:r>
      <w:r w:rsidRPr="00122DF2">
        <w:rPr>
          <w:rFonts w:eastAsia="Aptos" w:cs="Aptos"/>
        </w:rPr>
        <w:t xml:space="preserve">, il est préconisé de prendre en compte le nombre de jours entre la date de semis et la date de récolte. </w:t>
      </w:r>
    </w:p>
    <w:p w14:paraId="44331FE6" w14:textId="77777777" w:rsidR="00CB31B4" w:rsidRPr="00122DF2" w:rsidRDefault="00CB31B4" w:rsidP="00CB31B4">
      <w:pPr>
        <w:spacing w:after="200" w:line="276" w:lineRule="auto"/>
        <w:jc w:val="both"/>
        <w:rPr>
          <w:rFonts w:eastAsia="Aptos" w:cs="Aptos"/>
        </w:rPr>
      </w:pPr>
      <w:r w:rsidRPr="00122DF2">
        <w:rPr>
          <w:rFonts w:eastAsia="Aptos" w:cs="Aptos"/>
        </w:rPr>
        <w:t xml:space="preserve">Pour </w:t>
      </w:r>
      <w:r w:rsidRPr="00122DF2">
        <w:rPr>
          <w:rFonts w:eastAsia="Aptos" w:cs="Aptos"/>
          <w:b/>
          <w:bCs/>
        </w:rPr>
        <w:t>l’interculture longue hivernale</w:t>
      </w:r>
      <w:r w:rsidRPr="00122DF2">
        <w:rPr>
          <w:rFonts w:eastAsia="Aptos" w:cs="Aptos"/>
        </w:rPr>
        <w:t xml:space="preserve">, seuls les couverts vivants sont pris en compte dans le nombre de jours de couverture. Un couvert détruit/affaibli mécaniquement peut encore être considéré comme vivant, il n’en est pas de même pour une destruction/affaiblissement chimique. Les résidus de culture après récolte et le paillage (plastique ou matière organique) ne sont pas pris en compte. Les repousses ne sont pas non plus prises en compte. </w:t>
      </w:r>
    </w:p>
    <w:p w14:paraId="785B92E4" w14:textId="77777777" w:rsidR="00CB31B4" w:rsidRPr="00122DF2" w:rsidRDefault="00CB31B4" w:rsidP="00CB31B4">
      <w:pPr>
        <w:spacing w:after="200" w:line="276" w:lineRule="auto"/>
        <w:jc w:val="both"/>
        <w:rPr>
          <w:rFonts w:eastAsia="Aptos" w:cs="Aptos"/>
        </w:rPr>
      </w:pPr>
      <w:r w:rsidRPr="00122DF2">
        <w:rPr>
          <w:rFonts w:eastAsia="Aptos" w:cs="Aptos"/>
        </w:rPr>
        <w:t>L’opérateur PSE peut s’aider d’un tableau de calcul (</w:t>
      </w:r>
      <w:r w:rsidRPr="00122DF2">
        <w:rPr>
          <w:rFonts w:eastAsia="Aptos" w:cs="Aptos"/>
          <w:highlight w:val="yellow"/>
        </w:rPr>
        <w:t>lien</w:t>
      </w:r>
      <w:r w:rsidRPr="00122DF2">
        <w:rPr>
          <w:rFonts w:eastAsia="Aptos" w:cs="Aptos"/>
        </w:rPr>
        <w:t>)</w:t>
      </w:r>
      <w:r w:rsidRPr="00122DF2">
        <w:rPr>
          <w:rFonts w:eastAsia="Aptos" w:cs="Aptos"/>
          <w:color w:val="000000" w:themeColor="text1"/>
        </w:rPr>
        <w:t>.</w:t>
      </w:r>
      <w:r w:rsidRPr="00122DF2">
        <w:rPr>
          <w:rFonts w:eastAsia="Aptos" w:cs="Aptos"/>
        </w:rPr>
        <w:t xml:space="preserve"> </w:t>
      </w:r>
    </w:p>
    <w:p w14:paraId="6C1F3AF3" w14:textId="77777777" w:rsidR="00CB31B4" w:rsidRPr="00122DF2" w:rsidRDefault="00CB31B4" w:rsidP="00CB31B4">
      <w:pPr>
        <w:spacing w:after="200" w:line="276" w:lineRule="auto"/>
        <w:jc w:val="both"/>
        <w:rPr>
          <w:rFonts w:eastAsia="Aptos" w:cs="Aptos"/>
        </w:rPr>
      </w:pPr>
      <w:r w:rsidRPr="00122DF2">
        <w:rPr>
          <w:rFonts w:eastAsia="Aptos" w:cs="Aptos"/>
        </w:rPr>
        <w:t xml:space="preserve">Les données entrantes de ce tableau sont issues d’éléments déclaratifs de l’exploitant agricole, par parcelle (ou îlot PAC) : </w:t>
      </w:r>
    </w:p>
    <w:p w14:paraId="05255B84"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date de récolte de la culture déclarée à la PAC en année N</w:t>
      </w:r>
    </w:p>
    <w:p w14:paraId="05348556"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date de semis d’un couvert vivant hivernal s’il y a lieu</w:t>
      </w:r>
    </w:p>
    <w:p w14:paraId="4AEBF86D"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date de destruction du couvert</w:t>
      </w:r>
    </w:p>
    <w:p w14:paraId="59A652AD"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date de semis de la culture de l’année N+1</w:t>
      </w:r>
    </w:p>
    <w:p w14:paraId="5CBE91F6"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date de semis de la culture suivante</w:t>
      </w:r>
    </w:p>
    <w:p w14:paraId="15F25F6A" w14:textId="77777777" w:rsidR="00CB31B4" w:rsidRPr="00122DF2" w:rsidRDefault="00CB31B4" w:rsidP="00CB31B4">
      <w:pPr>
        <w:spacing w:after="200" w:line="276" w:lineRule="auto"/>
        <w:jc w:val="both"/>
        <w:rPr>
          <w:rFonts w:eastAsia="Aptos" w:cs="Aptos"/>
        </w:rPr>
      </w:pPr>
      <w:r w:rsidRPr="00122DF2">
        <w:rPr>
          <w:rFonts w:eastAsia="Aptos" w:cs="Aptos"/>
        </w:rPr>
        <w:t>Les périodes entre ces dates donnent alors un nombre de jours où un couvert est présent.</w:t>
      </w:r>
    </w:p>
    <w:p w14:paraId="0E431F35" w14:textId="77777777" w:rsidR="00CB31B4" w:rsidRPr="00122DF2" w:rsidRDefault="00CB31B4" w:rsidP="00CB31B4">
      <w:pPr>
        <w:spacing w:after="200" w:line="276" w:lineRule="auto"/>
        <w:jc w:val="both"/>
        <w:rPr>
          <w:rFonts w:eastAsia="Aptos" w:cs="Aptos"/>
        </w:rPr>
      </w:pPr>
      <w:r w:rsidRPr="00122DF2">
        <w:rPr>
          <w:rFonts w:eastAsia="Aptos" w:cs="Aptos"/>
        </w:rPr>
        <w:t>Comme vu précédemment, afin d’assurer le financement d’un service allant au-delà des exigences réglementaires, pour une couverture comprise entre le 1</w:t>
      </w:r>
      <w:r w:rsidRPr="00122DF2">
        <w:rPr>
          <w:rFonts w:eastAsia="Aptos" w:cs="Aptos"/>
          <w:vertAlign w:val="superscript"/>
        </w:rPr>
        <w:t>er</w:t>
      </w:r>
      <w:r w:rsidRPr="00122DF2">
        <w:rPr>
          <w:rFonts w:eastAsia="Aptos" w:cs="Aptos"/>
        </w:rPr>
        <w:t xml:space="preserve"> septembre et le 30 novembre, 6 semaines (42 jours) doivent être retirées du nombre de jour de couverture du sol (numérateur).</w:t>
      </w:r>
    </w:p>
    <w:p w14:paraId="4010E27C" w14:textId="77777777" w:rsidR="00CB31B4" w:rsidRPr="00122DF2" w:rsidRDefault="00CB31B4" w:rsidP="00CB31B4">
      <w:pPr>
        <w:spacing w:after="200" w:line="276" w:lineRule="auto"/>
        <w:jc w:val="both"/>
        <w:rPr>
          <w:rFonts w:eastAsia="Aptos" w:cs="Aptos"/>
        </w:rPr>
      </w:pPr>
      <w:r w:rsidRPr="00122DF2">
        <w:rPr>
          <w:rFonts w:eastAsia="Aptos" w:cs="Aptos"/>
        </w:rPr>
        <w:t xml:space="preserve">Pour les </w:t>
      </w:r>
      <w:r w:rsidRPr="00122DF2">
        <w:rPr>
          <w:rFonts w:eastAsia="Aptos" w:cs="Aptos"/>
          <w:b/>
          <w:bCs/>
        </w:rPr>
        <w:t>prairies permanentes</w:t>
      </w:r>
      <w:r w:rsidRPr="00122DF2">
        <w:rPr>
          <w:rFonts w:eastAsia="Aptos" w:cs="Aptos"/>
        </w:rPr>
        <w:t xml:space="preserve">, suivant le territoire et ses enjeux, l’opérateur PSE peut, ou non, prendre en compte ces surfaces dans le calcul de la valeur intrinsèque de l’indicateur.  Si les prairies permanentes sont intégrées, alors la couverture de ces parcelles est optimale et correspond à 365 jours / 365 jours, soit à 100%. </w:t>
      </w:r>
    </w:p>
    <w:p w14:paraId="62CD8BA8" w14:textId="77777777" w:rsidR="00CB31B4" w:rsidRPr="00122DF2" w:rsidRDefault="00CB31B4" w:rsidP="00CB31B4">
      <w:pPr>
        <w:spacing w:after="0" w:line="276" w:lineRule="auto"/>
        <w:ind w:firstLine="708"/>
        <w:jc w:val="both"/>
        <w:rPr>
          <w:rFonts w:eastAsia="Aptos" w:cs="Aptos"/>
          <w:u w:val="single"/>
        </w:rPr>
      </w:pPr>
      <w:r w:rsidRPr="00122DF2">
        <w:rPr>
          <w:rFonts w:eastAsia="Aptos" w:cs="Aptos"/>
          <w:u w:val="single"/>
        </w:rPr>
        <w:t>A-3 Cas particulier des cultures pérennes</w:t>
      </w:r>
    </w:p>
    <w:p w14:paraId="0273995B" w14:textId="77777777" w:rsidR="00CB31B4" w:rsidRPr="00122DF2" w:rsidRDefault="00CB31B4" w:rsidP="00CB31B4">
      <w:pPr>
        <w:spacing w:after="0" w:line="276" w:lineRule="auto"/>
        <w:jc w:val="both"/>
        <w:rPr>
          <w:rFonts w:eastAsia="Aptos" w:cs="Aptos"/>
          <w:u w:val="single"/>
        </w:rPr>
      </w:pPr>
    </w:p>
    <w:p w14:paraId="27CEEC10" w14:textId="77777777" w:rsidR="00CB31B4" w:rsidRPr="00122DF2" w:rsidRDefault="00CB31B4" w:rsidP="00CB31B4">
      <w:pPr>
        <w:spacing w:after="0" w:line="276" w:lineRule="auto"/>
        <w:jc w:val="both"/>
        <w:rPr>
          <w:rFonts w:eastAsia="Aptos" w:cs="Aptos"/>
        </w:rPr>
      </w:pPr>
      <w:r w:rsidRPr="00122DF2">
        <w:rPr>
          <w:rFonts w:eastAsia="Aptos" w:cs="Aptos"/>
        </w:rPr>
        <w:t>Pour ce type de culture, il est nécessaire de rajouter une exigence supplémentaire de façon à pouvoir rendre le dispositif PSE compatible avec l’éco-régime voie des pratiques. Il est donc recommandé de rajouter l’interdiction d’utilisation de pesticides sur la couverture végétale.</w:t>
      </w:r>
    </w:p>
    <w:p w14:paraId="4842D78A" w14:textId="77777777" w:rsidR="00CB31B4" w:rsidRPr="00122DF2" w:rsidRDefault="00CB31B4" w:rsidP="00CB31B4">
      <w:pPr>
        <w:spacing w:after="0" w:line="276" w:lineRule="auto"/>
        <w:jc w:val="both"/>
        <w:rPr>
          <w:rFonts w:eastAsia="Aptos" w:cs="Aptos"/>
          <w:u w:val="single"/>
        </w:rPr>
      </w:pPr>
    </w:p>
    <w:p w14:paraId="47539CAE" w14:textId="77777777" w:rsidR="00CB31B4" w:rsidRPr="00122DF2" w:rsidRDefault="00CB31B4" w:rsidP="00CB31B4">
      <w:pPr>
        <w:spacing w:after="0" w:line="276" w:lineRule="auto"/>
        <w:jc w:val="both"/>
        <w:rPr>
          <w:rFonts w:eastAsia="Aptos" w:cs="Aptos"/>
        </w:rPr>
      </w:pPr>
      <w:r w:rsidRPr="00122DF2">
        <w:rPr>
          <w:rFonts w:eastAsia="Aptos" w:cs="Aptos"/>
        </w:rPr>
        <w:lastRenderedPageBreak/>
        <w:t xml:space="preserve">Pour le calcul de la valeur intrinsèque de l’indicateur « eau dans le sol » pour les cultures pérennes, il est recommandé de ne pas utiliser la formule précédente mais de partir sur les principes suivants : </w:t>
      </w:r>
    </w:p>
    <w:p w14:paraId="6DAE86FD"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 xml:space="preserve">la couverture végétale des tournières n’est pas prise en compte, </w:t>
      </w:r>
    </w:p>
    <w:p w14:paraId="5B7D9890"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destruction/affaiblissement mécanique du couvert végétal ne remet pas en question sa présence,</w:t>
      </w:r>
    </w:p>
    <w:p w14:paraId="7C52A181"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 xml:space="preserve">la couverture végétale des inter-rangs représentent 66% de la surface totale d’une parcelle ainsi en fonction du nombre d’inter-rangs couverts (1/4 ou 1/3 ou ½), il est assez simple de calculer le pourcentage de couverture du sol (1/4 </w:t>
      </w:r>
      <w:r w:rsidRPr="00122DF2">
        <w:rPr>
          <w:rFonts w:eastAsia="Aptos" w:cs="Aptos"/>
        </w:rPr>
        <w:sym w:font="Wingdings" w:char="F0E0"/>
      </w:r>
      <w:r w:rsidRPr="00122DF2">
        <w:rPr>
          <w:rFonts w:eastAsia="Aptos" w:cs="Aptos"/>
        </w:rPr>
        <w:t xml:space="preserve"> 16.5% ; 1/3 </w:t>
      </w:r>
      <w:r w:rsidRPr="00122DF2">
        <w:rPr>
          <w:rFonts w:eastAsia="Aptos" w:cs="Aptos"/>
        </w:rPr>
        <w:sym w:font="Wingdings" w:char="F0E0"/>
      </w:r>
      <w:r w:rsidRPr="00122DF2">
        <w:rPr>
          <w:rFonts w:eastAsia="Aptos" w:cs="Aptos"/>
        </w:rPr>
        <w:t xml:space="preserve">22% ; ½ </w:t>
      </w:r>
      <w:r w:rsidRPr="00122DF2">
        <w:rPr>
          <w:rFonts w:eastAsia="Aptos" w:cs="Aptos"/>
        </w:rPr>
        <w:sym w:font="Wingdings" w:char="F0E0"/>
      </w:r>
      <w:r w:rsidRPr="00122DF2">
        <w:rPr>
          <w:rFonts w:eastAsia="Aptos" w:cs="Aptos"/>
        </w:rPr>
        <w:t>33 %),</w:t>
      </w:r>
    </w:p>
    <w:p w14:paraId="090ABFDD" w14:textId="77777777" w:rsidR="00CB31B4" w:rsidRPr="00122DF2" w:rsidRDefault="00CB31B4" w:rsidP="00CB31B4">
      <w:pPr>
        <w:pStyle w:val="Paragraphedeliste"/>
        <w:numPr>
          <w:ilvl w:val="0"/>
          <w:numId w:val="13"/>
        </w:numPr>
        <w:spacing w:after="200" w:line="276" w:lineRule="auto"/>
        <w:jc w:val="both"/>
        <w:rPr>
          <w:rFonts w:eastAsia="Aptos" w:cs="Aptos"/>
        </w:rPr>
      </w:pPr>
      <w:r w:rsidRPr="00122DF2">
        <w:rPr>
          <w:rFonts w:eastAsia="Aptos" w:cs="Aptos"/>
        </w:rPr>
        <w:t>la couverture végétale des rangs (sous les pieds) représentent les 34 % restants.</w:t>
      </w:r>
    </w:p>
    <w:p w14:paraId="7C6F2745" w14:textId="77777777" w:rsidR="00CB31B4" w:rsidRPr="00122DF2" w:rsidRDefault="00CB31B4" w:rsidP="00CB31B4">
      <w:pPr>
        <w:spacing w:after="200" w:line="276" w:lineRule="auto"/>
        <w:jc w:val="both"/>
        <w:rPr>
          <w:rFonts w:eastAsia="Aptos" w:cs="Aptos"/>
        </w:rPr>
      </w:pPr>
      <w:r w:rsidRPr="00122DF2">
        <w:rPr>
          <w:rFonts w:eastAsia="Aptos" w:cs="Aptos"/>
        </w:rPr>
        <w:t>Les pourcentages de couverture des inter-rangs et des rangs (66% - 34%) peuvent être adaptés si nécessaire en fonction du territoire et des caractéristiques des vignobles ou vergers (écartement entre les rangs).</w:t>
      </w:r>
    </w:p>
    <w:p w14:paraId="46137CCF" w14:textId="77777777" w:rsidR="00CB31B4" w:rsidRPr="00122DF2" w:rsidRDefault="00CB31B4" w:rsidP="00CB31B4">
      <w:pPr>
        <w:spacing w:after="0" w:line="276" w:lineRule="auto"/>
        <w:jc w:val="both"/>
      </w:pPr>
      <w:r w:rsidRPr="00122DF2">
        <w:t xml:space="preserve">B - ensuite, il faut calculer la </w:t>
      </w:r>
      <w:r w:rsidRPr="00122DF2">
        <w:rPr>
          <w:b/>
          <w:bCs/>
        </w:rPr>
        <w:t>moyenne pondérée</w:t>
      </w:r>
      <w:r w:rsidRPr="00122DF2">
        <w:t xml:space="preserve"> de couverture des parcelles à l’échelle de l’exploitation : </w:t>
      </w:r>
    </w:p>
    <w:p w14:paraId="74A7F6A6" w14:textId="77777777" w:rsidR="00CB31B4" w:rsidRPr="00122DF2" w:rsidRDefault="00CB31B4" w:rsidP="00CB31B4">
      <w:pPr>
        <w:spacing w:after="0" w:line="276" w:lineRule="auto"/>
        <w:jc w:val="both"/>
      </w:pPr>
    </w:p>
    <w:p w14:paraId="6AAE3C42" w14:textId="77777777" w:rsidR="00CB31B4" w:rsidRPr="00122DF2" w:rsidRDefault="002841D0" w:rsidP="00CB31B4">
      <w:pPr>
        <w:spacing w:after="0"/>
        <w:jc w:val="both"/>
        <w:rPr>
          <w:iCs/>
          <w:sz w:val="44"/>
          <w:szCs w:val="44"/>
        </w:rPr>
      </w:pPr>
      <m:oMathPara>
        <m:oMath>
          <m:f>
            <m:fPr>
              <m:ctrlPr>
                <w:rPr>
                  <w:rFonts w:ascii="Cambria Math" w:hAnsi="Cambria Math"/>
                  <w:b/>
                  <w:bCs/>
                  <w:iCs/>
                </w:rPr>
              </m:ctrlPr>
            </m:fPr>
            <m:num>
              <m:r>
                <m:rPr>
                  <m:sty m:val="b"/>
                </m:rPr>
                <w:rPr>
                  <w:rFonts w:ascii="Cambria Math" w:hAnsi="Cambria Math"/>
                </w:rPr>
                <m:t xml:space="preserve">% </m:t>
              </m:r>
              <m:r>
                <m:rPr>
                  <m:sty m:val="b"/>
                </m:rPr>
                <w:rPr>
                  <w:rFonts w:ascii="Cambria Math" w:hAnsi="Cambria Math"/>
                </w:rPr>
                <m:t>CS</m:t>
              </m:r>
              <m:r>
                <m:rPr>
                  <m:sty m:val="b"/>
                </m:rPr>
                <w:rPr>
                  <w:rFonts w:ascii="Cambria Math" w:hAnsi="Cambria Math"/>
                </w:rPr>
                <m:t xml:space="preserve"> </m:t>
              </m:r>
              <m:r>
                <m:rPr>
                  <m:sty m:val="b"/>
                </m:rPr>
                <w:rPr>
                  <w:rFonts w:ascii="Cambria Math" w:hAnsi="Cambria Math"/>
                </w:rPr>
                <m:t>A</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CS</m:t>
              </m:r>
              <m:r>
                <m:rPr>
                  <m:sty m:val="b"/>
                </m:rPr>
                <w:rPr>
                  <w:rFonts w:ascii="Cambria Math" w:hAnsi="Cambria Math"/>
                </w:rPr>
                <m:t xml:space="preserve"> </m:t>
              </m:r>
              <m:r>
                <m:rPr>
                  <m:sty m:val="b"/>
                </m:rPr>
                <w:rPr>
                  <w:rFonts w:ascii="Cambria Math" w:hAnsi="Cambria Math"/>
                </w:rPr>
                <m:t>B</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CS</m:t>
              </m:r>
              <m:r>
                <m:rPr>
                  <m:sty m:val="b"/>
                </m:rPr>
                <w:rPr>
                  <w:rFonts w:ascii="Cambria Math" w:hAnsi="Cambria Math"/>
                </w:rPr>
                <m:t xml:space="preserve"> </m:t>
              </m:r>
              <m:r>
                <m:rPr>
                  <m:sty m:val="b"/>
                </m:rPr>
                <w:rPr>
                  <w:rFonts w:ascii="Cambria Math" w:hAnsi="Cambria Math"/>
                </w:rPr>
                <m:t>C</m:t>
              </m:r>
              <m:r>
                <m:rPr>
                  <m:sty m:val="b"/>
                </m:rPr>
                <w:rPr>
                  <w:rFonts w:ascii="Cambria Math" w:hAnsi="Cambria Math"/>
                </w:rPr>
                <m:t xml:space="preserve"> </m:t>
              </m:r>
              <m:r>
                <m:rPr>
                  <m:sty m:val="b"/>
                </m:rPr>
                <w:rPr>
                  <w:rFonts w:ascii="Cambria Math" w:hAnsi="Cambria Math"/>
                </w:rPr>
                <m:t>X</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vertAlign w:val="subscript"/>
                </w:rPr>
                <m:t>C</m:t>
              </m:r>
              <m:r>
                <m:rPr>
                  <m:sty m:val="b"/>
                </m:rPr>
                <w:rPr>
                  <w:rFonts w:ascii="Cambria Math" w:hAnsi="Cambria Math"/>
                </w:rPr>
                <m:t xml:space="preserve"> + …. </m:t>
              </m:r>
            </m:num>
            <m:den>
              <m:r>
                <m:rPr>
                  <m:sty m:val="b"/>
                </m:rPr>
                <w:rPr>
                  <w:rFonts w:ascii="Cambria Math" w:hAnsi="Cambria Math"/>
                </w:rPr>
                <m:t>SAU</m:t>
              </m:r>
              <m:r>
                <m:rPr>
                  <m:sty m:val="b"/>
                </m:rPr>
                <w:rPr>
                  <w:rFonts w:ascii="Cambria Math" w:hAnsi="Cambria Math"/>
                </w:rPr>
                <m:t xml:space="preserve"> </m:t>
              </m:r>
              <m:r>
                <m:rPr>
                  <m:sty m:val="b"/>
                </m:rPr>
                <w:rPr>
                  <w:rFonts w:ascii="Cambria Math" w:hAnsi="Cambria Math"/>
                </w:rPr>
                <m:t>TOTALE</m:t>
              </m:r>
              <m:r>
                <m:rPr>
                  <m:sty m:val="b"/>
                </m:rPr>
                <w:rPr>
                  <w:rFonts w:ascii="Cambria Math" w:hAnsi="Cambria Math"/>
                </w:rPr>
                <m:t xml:space="preserve">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A</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B</m:t>
              </m:r>
              <m:r>
                <m:rPr>
                  <m:sty m:val="b"/>
                </m:rPr>
                <w:rPr>
                  <w:rFonts w:ascii="Cambria Math" w:hAnsi="Cambria Math"/>
                </w:rPr>
                <m:t xml:space="preserve"> + </m:t>
              </m:r>
              <m:r>
                <m:rPr>
                  <m:sty m:val="b"/>
                </m:rPr>
                <w:rPr>
                  <w:rFonts w:ascii="Cambria Math" w:hAnsi="Cambria Math"/>
                </w:rPr>
                <m:t>SAU</m:t>
              </m:r>
              <m:r>
                <m:rPr>
                  <m:sty m:val="b"/>
                </m:rPr>
                <w:rPr>
                  <w:rFonts w:ascii="Cambria Math" w:hAnsi="Cambria Math"/>
                  <w:vertAlign w:val="subscript"/>
                </w:rPr>
                <m:t xml:space="preserve"> </m:t>
              </m:r>
              <m:r>
                <m:rPr>
                  <m:sty m:val="b"/>
                </m:rPr>
                <w:rPr>
                  <w:rFonts w:ascii="Cambria Math" w:hAnsi="Cambria Math"/>
                </w:rPr>
                <m:t>C</m:t>
              </m:r>
              <m:r>
                <m:rPr>
                  <m:sty m:val="b"/>
                </m:rPr>
                <w:rPr>
                  <w:rFonts w:ascii="Cambria Math" w:hAnsi="Cambria Math"/>
                </w:rPr>
                <m:t xml:space="preserve"> + …)</m:t>
              </m:r>
            </m:den>
          </m:f>
        </m:oMath>
      </m:oMathPara>
    </w:p>
    <w:p w14:paraId="4B175813" w14:textId="77777777" w:rsidR="002159D3" w:rsidRDefault="002159D3" w:rsidP="00CB31B4">
      <w:pPr>
        <w:spacing w:after="200" w:line="276" w:lineRule="auto"/>
        <w:jc w:val="both"/>
      </w:pPr>
    </w:p>
    <w:p w14:paraId="7D8A1217" w14:textId="3B51C5A0" w:rsidR="00CB31B4" w:rsidRPr="00122DF2" w:rsidRDefault="00CB31B4" w:rsidP="00CB31B4">
      <w:pPr>
        <w:spacing w:after="200" w:line="276" w:lineRule="auto"/>
        <w:jc w:val="both"/>
      </w:pPr>
      <w:r w:rsidRPr="00122DF2">
        <w:t xml:space="preserve">La </w:t>
      </w:r>
      <w:r w:rsidRPr="00122DF2">
        <w:rPr>
          <w:b/>
          <w:bCs/>
        </w:rPr>
        <w:t>note de l’exploitation</w:t>
      </w:r>
      <w:r w:rsidRPr="00122DF2">
        <w:t xml:space="preserve"> est obtenue en se référant à la grille de notation de l’indicateur « eau dans le sol » du territoire élaborée par l’opérateur (Cf. point 2 ci-dessous), qui fait correspondre la valeur intrinsèque de l’indicateur avec une note.</w:t>
      </w:r>
    </w:p>
    <w:p w14:paraId="516EB80A" w14:textId="006AC038" w:rsidR="00CB31B4" w:rsidRPr="00122DF2" w:rsidRDefault="00CB31B4" w:rsidP="00C72AF6">
      <w:pPr>
        <w:pStyle w:val="Titre2"/>
        <w:numPr>
          <w:ilvl w:val="0"/>
          <w:numId w:val="14"/>
        </w:numPr>
        <w:rPr>
          <w:rFonts w:asciiTheme="minorHAnsi" w:hAnsiTheme="minorHAnsi"/>
        </w:rPr>
      </w:pPr>
      <w:bookmarkStart w:id="17" w:name="_Toc220428534"/>
      <w:r w:rsidRPr="00122DF2">
        <w:rPr>
          <w:rFonts w:asciiTheme="minorHAnsi" w:hAnsiTheme="minorHAnsi"/>
        </w:rPr>
        <w:t>Création de la grille de notation</w:t>
      </w:r>
      <w:bookmarkEnd w:id="17"/>
      <w:r w:rsidRPr="00122DF2">
        <w:rPr>
          <w:rFonts w:asciiTheme="minorHAnsi" w:hAnsiTheme="minorHAnsi"/>
        </w:rPr>
        <w:t> </w:t>
      </w:r>
    </w:p>
    <w:p w14:paraId="0568EB1C" w14:textId="77777777" w:rsidR="00CB31B4" w:rsidRPr="00122DF2" w:rsidRDefault="00CB31B4" w:rsidP="00CB31B4">
      <w:pPr>
        <w:jc w:val="both"/>
      </w:pPr>
      <w:r w:rsidRPr="00122DF2">
        <w:t>La note minimale de la grille de notation (0) correspond à la moyenne ou la médiane de la valeur intrinsèque de l’indicateur « eau dans le sol » issue du diagnostic agricole territorial. </w:t>
      </w:r>
    </w:p>
    <w:p w14:paraId="251038BC" w14:textId="77777777" w:rsidR="00CB31B4" w:rsidRPr="00122DF2" w:rsidRDefault="00CB31B4" w:rsidP="00CB31B4">
      <w:pPr>
        <w:jc w:val="both"/>
      </w:pPr>
      <w:r w:rsidRPr="00122DF2">
        <w:t>La note maximale de la grille de notation (10) correspond à un service environnemental maximum de 100% de couverture.  </w:t>
      </w:r>
    </w:p>
    <w:p w14:paraId="7A5D5A89" w14:textId="77777777" w:rsidR="00CB31B4" w:rsidRPr="00122DF2" w:rsidRDefault="00CB31B4" w:rsidP="00CB31B4">
      <w:pPr>
        <w:jc w:val="both"/>
      </w:pPr>
      <w:r w:rsidRPr="00122DF2">
        <w:t>Une échelle de notation linéaire n’est pas obligatoire, afin de favoriser par exemple certains seuils d’efforts et notamment dans le cas de l’indicateur « eau dans le sol » pour valoriser les derniers (ou les premiers) pourcentages.</w:t>
      </w:r>
    </w:p>
    <w:p w14:paraId="158C72C1" w14:textId="3B1515E5" w:rsidR="00CB31B4" w:rsidRPr="00122DF2" w:rsidRDefault="00CB31B4" w:rsidP="00CB31B4">
      <w:pPr>
        <w:jc w:val="both"/>
      </w:pPr>
      <w:r w:rsidRPr="00122DF2">
        <w:t>Exemple de grille de notation pour les cultures annuelles :</w:t>
      </w: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0"/>
        <w:gridCol w:w="1200"/>
        <w:gridCol w:w="1200"/>
        <w:gridCol w:w="1200"/>
        <w:gridCol w:w="1200"/>
        <w:gridCol w:w="1200"/>
        <w:gridCol w:w="1200"/>
      </w:tblGrid>
      <w:tr w:rsidR="00CB31B4" w:rsidRPr="00122DF2" w14:paraId="6E2B3B7E" w14:textId="77777777" w:rsidTr="00311ECB">
        <w:trPr>
          <w:trHeight w:val="300"/>
        </w:trPr>
        <w:tc>
          <w:tcPr>
            <w:tcW w:w="2320" w:type="dxa"/>
            <w:noWrap/>
            <w:vAlign w:val="center"/>
            <w:hideMark/>
          </w:tcPr>
          <w:p w14:paraId="481B204B"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 couverture des sols</w:t>
            </w:r>
          </w:p>
        </w:tc>
        <w:tc>
          <w:tcPr>
            <w:tcW w:w="1200" w:type="dxa"/>
            <w:noWrap/>
            <w:vAlign w:val="center"/>
            <w:hideMark/>
          </w:tcPr>
          <w:p w14:paraId="53B2B057"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80</w:t>
            </w:r>
          </w:p>
        </w:tc>
        <w:tc>
          <w:tcPr>
            <w:tcW w:w="1200" w:type="dxa"/>
            <w:noWrap/>
            <w:vAlign w:val="center"/>
            <w:hideMark/>
          </w:tcPr>
          <w:p w14:paraId="0923E44F"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84</w:t>
            </w:r>
          </w:p>
        </w:tc>
        <w:tc>
          <w:tcPr>
            <w:tcW w:w="1200" w:type="dxa"/>
            <w:noWrap/>
            <w:vAlign w:val="center"/>
            <w:hideMark/>
          </w:tcPr>
          <w:p w14:paraId="40FA50FD"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88</w:t>
            </w:r>
          </w:p>
        </w:tc>
        <w:tc>
          <w:tcPr>
            <w:tcW w:w="1200" w:type="dxa"/>
            <w:noWrap/>
            <w:vAlign w:val="center"/>
            <w:hideMark/>
          </w:tcPr>
          <w:p w14:paraId="5E01CCC8"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92</w:t>
            </w:r>
          </w:p>
        </w:tc>
        <w:tc>
          <w:tcPr>
            <w:tcW w:w="1200" w:type="dxa"/>
            <w:noWrap/>
            <w:vAlign w:val="center"/>
            <w:hideMark/>
          </w:tcPr>
          <w:p w14:paraId="0619EA74"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96</w:t>
            </w:r>
          </w:p>
        </w:tc>
        <w:tc>
          <w:tcPr>
            <w:tcW w:w="1200" w:type="dxa"/>
            <w:noWrap/>
            <w:vAlign w:val="center"/>
            <w:hideMark/>
          </w:tcPr>
          <w:p w14:paraId="2B4416CB"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100</w:t>
            </w:r>
          </w:p>
        </w:tc>
      </w:tr>
      <w:tr w:rsidR="00CB31B4" w:rsidRPr="00122DF2" w14:paraId="106563E8" w14:textId="77777777" w:rsidTr="00311ECB">
        <w:trPr>
          <w:trHeight w:val="300"/>
        </w:trPr>
        <w:tc>
          <w:tcPr>
            <w:tcW w:w="2320" w:type="dxa"/>
            <w:noWrap/>
            <w:vAlign w:val="center"/>
            <w:hideMark/>
          </w:tcPr>
          <w:p w14:paraId="0B963122"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Note</w:t>
            </w:r>
          </w:p>
        </w:tc>
        <w:tc>
          <w:tcPr>
            <w:tcW w:w="1200" w:type="dxa"/>
            <w:noWrap/>
            <w:vAlign w:val="center"/>
            <w:hideMark/>
          </w:tcPr>
          <w:p w14:paraId="1BE7AF9C"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0</w:t>
            </w:r>
          </w:p>
        </w:tc>
        <w:tc>
          <w:tcPr>
            <w:tcW w:w="1200" w:type="dxa"/>
            <w:noWrap/>
            <w:vAlign w:val="center"/>
            <w:hideMark/>
          </w:tcPr>
          <w:p w14:paraId="2248A760"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2</w:t>
            </w:r>
          </w:p>
        </w:tc>
        <w:tc>
          <w:tcPr>
            <w:tcW w:w="1200" w:type="dxa"/>
            <w:noWrap/>
            <w:vAlign w:val="center"/>
            <w:hideMark/>
          </w:tcPr>
          <w:p w14:paraId="5849CE16"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4</w:t>
            </w:r>
          </w:p>
        </w:tc>
        <w:tc>
          <w:tcPr>
            <w:tcW w:w="1200" w:type="dxa"/>
            <w:noWrap/>
            <w:vAlign w:val="center"/>
            <w:hideMark/>
          </w:tcPr>
          <w:p w14:paraId="22741562"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6</w:t>
            </w:r>
          </w:p>
        </w:tc>
        <w:tc>
          <w:tcPr>
            <w:tcW w:w="1200" w:type="dxa"/>
            <w:noWrap/>
            <w:vAlign w:val="center"/>
            <w:hideMark/>
          </w:tcPr>
          <w:p w14:paraId="5A651FF3"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8</w:t>
            </w:r>
          </w:p>
        </w:tc>
        <w:tc>
          <w:tcPr>
            <w:tcW w:w="1200" w:type="dxa"/>
            <w:noWrap/>
            <w:vAlign w:val="center"/>
            <w:hideMark/>
          </w:tcPr>
          <w:p w14:paraId="748794D3"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10</w:t>
            </w:r>
          </w:p>
        </w:tc>
      </w:tr>
    </w:tbl>
    <w:p w14:paraId="20B7089E" w14:textId="77777777" w:rsidR="002159D3" w:rsidRDefault="002159D3" w:rsidP="00CB31B4">
      <w:pPr>
        <w:jc w:val="both"/>
      </w:pPr>
    </w:p>
    <w:p w14:paraId="265C69E3" w14:textId="77777777" w:rsidR="002159D3" w:rsidRDefault="002159D3" w:rsidP="00CB31B4">
      <w:pPr>
        <w:jc w:val="both"/>
      </w:pPr>
    </w:p>
    <w:p w14:paraId="198679CD" w14:textId="77777777" w:rsidR="002159D3" w:rsidRDefault="002159D3" w:rsidP="00CB31B4">
      <w:pPr>
        <w:jc w:val="both"/>
      </w:pPr>
    </w:p>
    <w:p w14:paraId="0966468B" w14:textId="77777777" w:rsidR="002159D3" w:rsidRDefault="002159D3" w:rsidP="00CB31B4">
      <w:pPr>
        <w:jc w:val="both"/>
      </w:pPr>
    </w:p>
    <w:p w14:paraId="1FAC842A" w14:textId="56FB7FE5" w:rsidR="00CB31B4" w:rsidRPr="00122DF2" w:rsidRDefault="00CB31B4" w:rsidP="00CB31B4">
      <w:pPr>
        <w:jc w:val="both"/>
      </w:pPr>
      <w:r w:rsidRPr="00122DF2">
        <w:lastRenderedPageBreak/>
        <w:t>Exemple de grille de notation pour les cultures pérennes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370"/>
        <w:gridCol w:w="1370"/>
        <w:gridCol w:w="1371"/>
        <w:gridCol w:w="1370"/>
        <w:gridCol w:w="1370"/>
        <w:gridCol w:w="1371"/>
      </w:tblGrid>
      <w:tr w:rsidR="00CB31B4" w:rsidRPr="00122DF2" w14:paraId="61623997" w14:textId="77777777" w:rsidTr="00311ECB">
        <w:trPr>
          <w:trHeight w:val="384"/>
        </w:trPr>
        <w:tc>
          <w:tcPr>
            <w:tcW w:w="1271" w:type="dxa"/>
            <w:vAlign w:val="center"/>
            <w:hideMark/>
          </w:tcPr>
          <w:p w14:paraId="38570E9C" w14:textId="77777777" w:rsidR="00CB31B4" w:rsidRPr="00122DF2" w:rsidRDefault="00CB31B4" w:rsidP="008A21FA">
            <w:pPr>
              <w:spacing w:after="0" w:line="240" w:lineRule="auto"/>
              <w:jc w:val="center"/>
              <w:rPr>
                <w:rFonts w:eastAsia="Times New Roman" w:cs="Calibri"/>
                <w:color w:val="000000"/>
                <w:kern w:val="0"/>
                <w:sz w:val="24"/>
                <w:szCs w:val="24"/>
                <w:lang w:eastAsia="fr-FR"/>
                <w14:ligatures w14:val="none"/>
              </w:rPr>
            </w:pPr>
          </w:p>
        </w:tc>
        <w:tc>
          <w:tcPr>
            <w:tcW w:w="1370" w:type="dxa"/>
            <w:vAlign w:val="center"/>
          </w:tcPr>
          <w:p w14:paraId="7ED837DB"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Aucune couverture</w:t>
            </w:r>
          </w:p>
        </w:tc>
        <w:tc>
          <w:tcPr>
            <w:tcW w:w="1370" w:type="dxa"/>
            <w:vAlign w:val="center"/>
            <w:hideMark/>
          </w:tcPr>
          <w:p w14:paraId="47E3CDCF"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Couvert sur 1 inter-rang sur 4</w:t>
            </w:r>
          </w:p>
        </w:tc>
        <w:tc>
          <w:tcPr>
            <w:tcW w:w="1371" w:type="dxa"/>
            <w:vAlign w:val="center"/>
            <w:hideMark/>
          </w:tcPr>
          <w:p w14:paraId="095B64C8"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Couvert sur 1 inter-rang sur 3</w:t>
            </w:r>
          </w:p>
        </w:tc>
        <w:tc>
          <w:tcPr>
            <w:tcW w:w="1370" w:type="dxa"/>
            <w:vAlign w:val="center"/>
            <w:hideMark/>
          </w:tcPr>
          <w:p w14:paraId="1235F353"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Couvert sur 1 inter-rang sur 2</w:t>
            </w:r>
          </w:p>
        </w:tc>
        <w:tc>
          <w:tcPr>
            <w:tcW w:w="1370" w:type="dxa"/>
            <w:vAlign w:val="center"/>
            <w:hideMark/>
          </w:tcPr>
          <w:p w14:paraId="3AC46024"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Couvert tous les inter-rangs</w:t>
            </w:r>
          </w:p>
        </w:tc>
        <w:tc>
          <w:tcPr>
            <w:tcW w:w="1371" w:type="dxa"/>
          </w:tcPr>
          <w:p w14:paraId="1AA90645" w14:textId="77777777" w:rsidR="00CB31B4" w:rsidRPr="00122DF2" w:rsidRDefault="00CB31B4" w:rsidP="008A21FA">
            <w:pPr>
              <w:spacing w:after="0" w:line="240" w:lineRule="auto"/>
              <w:jc w:val="center"/>
              <w:rPr>
                <w:rFonts w:eastAsia="Times New Roman" w:cs="Calibri"/>
                <w:color w:val="000000"/>
                <w:kern w:val="0"/>
                <w:sz w:val="20"/>
                <w:szCs w:val="20"/>
                <w:lang w:eastAsia="fr-FR"/>
                <w14:ligatures w14:val="none"/>
              </w:rPr>
            </w:pPr>
            <w:r w:rsidRPr="00122DF2">
              <w:rPr>
                <w:rFonts w:eastAsia="Times New Roman" w:cs="Calibri"/>
                <w:color w:val="000000"/>
                <w:kern w:val="0"/>
                <w:sz w:val="20"/>
                <w:szCs w:val="20"/>
                <w:lang w:eastAsia="fr-FR"/>
                <w14:ligatures w14:val="none"/>
              </w:rPr>
              <w:t>Couvert inter-rangs + rangs</w:t>
            </w:r>
          </w:p>
        </w:tc>
      </w:tr>
      <w:tr w:rsidR="00CB31B4" w:rsidRPr="00122DF2" w14:paraId="5EED2D03" w14:textId="77777777" w:rsidTr="00311ECB">
        <w:trPr>
          <w:trHeight w:val="288"/>
        </w:trPr>
        <w:tc>
          <w:tcPr>
            <w:tcW w:w="1271" w:type="dxa"/>
            <w:vAlign w:val="center"/>
          </w:tcPr>
          <w:p w14:paraId="10483C5C" w14:textId="77777777" w:rsidR="00CB31B4" w:rsidRPr="00122DF2" w:rsidRDefault="00CB31B4" w:rsidP="008A21FA">
            <w:pPr>
              <w:spacing w:after="0" w:line="240" w:lineRule="auto"/>
              <w:jc w:val="center"/>
              <w:rPr>
                <w:rFonts w:eastAsia="Times New Roman" w:cs="Calibri"/>
                <w:color w:val="000000"/>
                <w:kern w:val="0"/>
                <w:sz w:val="24"/>
                <w:szCs w:val="24"/>
                <w:lang w:eastAsia="fr-FR"/>
                <w14:ligatures w14:val="none"/>
              </w:rPr>
            </w:pPr>
            <w:r w:rsidRPr="00122DF2">
              <w:rPr>
                <w:rFonts w:eastAsia="Times New Roman" w:cs="Calibri"/>
                <w:color w:val="000000"/>
                <w:kern w:val="0"/>
                <w:lang w:eastAsia="fr-FR"/>
                <w14:ligatures w14:val="none"/>
              </w:rPr>
              <w:t>% couverture des sols</w:t>
            </w:r>
          </w:p>
        </w:tc>
        <w:tc>
          <w:tcPr>
            <w:tcW w:w="1370" w:type="dxa"/>
            <w:vAlign w:val="center"/>
          </w:tcPr>
          <w:p w14:paraId="3E405B7B"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0</w:t>
            </w:r>
          </w:p>
        </w:tc>
        <w:tc>
          <w:tcPr>
            <w:tcW w:w="1370" w:type="dxa"/>
            <w:vAlign w:val="center"/>
          </w:tcPr>
          <w:p w14:paraId="46025127"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16.5</w:t>
            </w:r>
          </w:p>
        </w:tc>
        <w:tc>
          <w:tcPr>
            <w:tcW w:w="1371" w:type="dxa"/>
            <w:vAlign w:val="center"/>
          </w:tcPr>
          <w:p w14:paraId="61F02C58"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22</w:t>
            </w:r>
          </w:p>
        </w:tc>
        <w:tc>
          <w:tcPr>
            <w:tcW w:w="1370" w:type="dxa"/>
            <w:vAlign w:val="center"/>
          </w:tcPr>
          <w:p w14:paraId="55E20A61"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33</w:t>
            </w:r>
          </w:p>
        </w:tc>
        <w:tc>
          <w:tcPr>
            <w:tcW w:w="1370" w:type="dxa"/>
            <w:vAlign w:val="center"/>
          </w:tcPr>
          <w:p w14:paraId="5BB4FFFB"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66</w:t>
            </w:r>
          </w:p>
        </w:tc>
        <w:tc>
          <w:tcPr>
            <w:tcW w:w="1371" w:type="dxa"/>
            <w:vAlign w:val="center"/>
          </w:tcPr>
          <w:p w14:paraId="49CD2ABB"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100</w:t>
            </w:r>
          </w:p>
        </w:tc>
      </w:tr>
      <w:tr w:rsidR="00CB31B4" w:rsidRPr="00122DF2" w14:paraId="4D2E8828" w14:textId="77777777" w:rsidTr="00311ECB">
        <w:trPr>
          <w:trHeight w:val="288"/>
        </w:trPr>
        <w:tc>
          <w:tcPr>
            <w:tcW w:w="1271" w:type="dxa"/>
            <w:vAlign w:val="center"/>
            <w:hideMark/>
          </w:tcPr>
          <w:p w14:paraId="4BE4A734" w14:textId="77777777" w:rsidR="00CB31B4" w:rsidRPr="00122DF2" w:rsidRDefault="00CB31B4" w:rsidP="008A21FA">
            <w:pPr>
              <w:spacing w:after="0" w:line="240" w:lineRule="auto"/>
              <w:jc w:val="center"/>
              <w:rPr>
                <w:rFonts w:eastAsia="Times New Roman" w:cs="Calibri"/>
                <w:color w:val="000000"/>
                <w:kern w:val="0"/>
                <w:sz w:val="24"/>
                <w:szCs w:val="24"/>
                <w:lang w:eastAsia="fr-FR"/>
                <w14:ligatures w14:val="none"/>
              </w:rPr>
            </w:pPr>
            <w:r w:rsidRPr="00122DF2">
              <w:rPr>
                <w:rFonts w:eastAsia="Times New Roman" w:cs="Calibri"/>
                <w:color w:val="000000"/>
                <w:kern w:val="0"/>
                <w:lang w:eastAsia="fr-FR"/>
                <w14:ligatures w14:val="none"/>
              </w:rPr>
              <w:t>Note</w:t>
            </w:r>
          </w:p>
        </w:tc>
        <w:tc>
          <w:tcPr>
            <w:tcW w:w="1370" w:type="dxa"/>
            <w:vAlign w:val="center"/>
          </w:tcPr>
          <w:p w14:paraId="1DEF4AF0"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0</w:t>
            </w:r>
          </w:p>
        </w:tc>
        <w:tc>
          <w:tcPr>
            <w:tcW w:w="1370" w:type="dxa"/>
            <w:vAlign w:val="center"/>
            <w:hideMark/>
          </w:tcPr>
          <w:p w14:paraId="001A92E3"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w:t>
            </w:r>
          </w:p>
        </w:tc>
        <w:tc>
          <w:tcPr>
            <w:tcW w:w="1371" w:type="dxa"/>
            <w:vAlign w:val="center"/>
            <w:hideMark/>
          </w:tcPr>
          <w:p w14:paraId="1681BCB3"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2</w:t>
            </w:r>
          </w:p>
        </w:tc>
        <w:tc>
          <w:tcPr>
            <w:tcW w:w="1370" w:type="dxa"/>
            <w:vAlign w:val="center"/>
            <w:hideMark/>
          </w:tcPr>
          <w:p w14:paraId="0A30D548"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4</w:t>
            </w:r>
          </w:p>
        </w:tc>
        <w:tc>
          <w:tcPr>
            <w:tcW w:w="1370" w:type="dxa"/>
            <w:vAlign w:val="center"/>
            <w:hideMark/>
          </w:tcPr>
          <w:p w14:paraId="0E72DA1F"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8</w:t>
            </w:r>
          </w:p>
        </w:tc>
        <w:tc>
          <w:tcPr>
            <w:tcW w:w="1371" w:type="dxa"/>
            <w:vAlign w:val="center"/>
          </w:tcPr>
          <w:p w14:paraId="67268E50" w14:textId="77777777" w:rsidR="00CB31B4" w:rsidRPr="00122DF2" w:rsidRDefault="00CB31B4" w:rsidP="008A21FA">
            <w:pPr>
              <w:spacing w:after="0" w:line="240" w:lineRule="auto"/>
              <w:jc w:val="center"/>
              <w:rPr>
                <w:rFonts w:eastAsia="Times New Roman" w:cs="Calibri"/>
                <w:color w:val="000000"/>
                <w:kern w:val="0"/>
                <w:lang w:eastAsia="fr-FR"/>
                <w14:ligatures w14:val="none"/>
              </w:rPr>
            </w:pPr>
            <w:r w:rsidRPr="00122DF2">
              <w:rPr>
                <w:rFonts w:eastAsia="Times New Roman" w:cs="Calibri"/>
                <w:color w:val="000000"/>
                <w:kern w:val="0"/>
                <w:lang w:eastAsia="fr-FR"/>
                <w14:ligatures w14:val="none"/>
              </w:rPr>
              <w:t>10</w:t>
            </w:r>
          </w:p>
        </w:tc>
      </w:tr>
    </w:tbl>
    <w:p w14:paraId="0D2A4492" w14:textId="77777777" w:rsidR="00CB31B4" w:rsidRPr="00122DF2" w:rsidRDefault="00CB31B4" w:rsidP="00CB31B4">
      <w:pPr>
        <w:jc w:val="both"/>
        <w:rPr>
          <w:rFonts w:cs="Calibri"/>
          <w:sz w:val="24"/>
          <w:szCs w:val="24"/>
        </w:rPr>
      </w:pPr>
    </w:p>
    <w:p w14:paraId="299546F1" w14:textId="77777777" w:rsidR="00CB31B4" w:rsidRPr="00122DF2" w:rsidRDefault="00CB31B4" w:rsidP="00CB31B4">
      <w:pPr>
        <w:jc w:val="both"/>
      </w:pPr>
      <w:r w:rsidRPr="00122DF2">
        <w:t>En fonction des objectifs du territoire, la répartition seuils intermédiaire et des notes est à adapter (notamment avec la prise en compte d’une couverture sous le rang).</w:t>
      </w:r>
    </w:p>
    <w:p w14:paraId="5ECF6457" w14:textId="77777777" w:rsidR="00CB31B4" w:rsidRPr="00122DF2" w:rsidRDefault="00CB31B4" w:rsidP="00CB31B4">
      <w:pPr>
        <w:jc w:val="both"/>
        <w:rPr>
          <w:rFonts w:cs="Calibri"/>
          <w:sz w:val="24"/>
          <w:szCs w:val="24"/>
        </w:rPr>
      </w:pPr>
    </w:p>
    <w:p w14:paraId="554940CF" w14:textId="77777777" w:rsidR="00CB31B4" w:rsidRPr="00122DF2" w:rsidRDefault="00CB31B4" w:rsidP="00CB31B4">
      <w:pPr>
        <w:pStyle w:val="Default"/>
        <w:ind w:left="720"/>
        <w:jc w:val="both"/>
        <w:rPr>
          <w:rFonts w:asciiTheme="minorHAnsi" w:hAnsiTheme="minorHAnsi"/>
        </w:rPr>
      </w:pPr>
    </w:p>
    <w:p w14:paraId="764831EB" w14:textId="77777777" w:rsidR="00CB31B4" w:rsidRPr="00122DF2" w:rsidRDefault="00CB31B4" w:rsidP="00CB31B4">
      <w:pPr>
        <w:pStyle w:val="Default"/>
        <w:jc w:val="both"/>
        <w:rPr>
          <w:rFonts w:asciiTheme="minorHAnsi" w:hAnsiTheme="minorHAnsi"/>
        </w:rPr>
      </w:pPr>
    </w:p>
    <w:p w14:paraId="6675CE13" w14:textId="75BE9797" w:rsidR="00303946" w:rsidRDefault="00303946">
      <w:r>
        <w:br w:type="page"/>
      </w:r>
    </w:p>
    <w:p w14:paraId="2795BF30" w14:textId="77777777" w:rsidR="003F02A7" w:rsidRPr="00735E43" w:rsidRDefault="003F02A7" w:rsidP="003F02A7">
      <w:pPr>
        <w:pStyle w:val="Titre"/>
        <w:spacing w:after="300"/>
        <w:jc w:val="center"/>
        <w:rPr>
          <w:rFonts w:asciiTheme="minorHAnsi" w:eastAsia="Calibri" w:hAnsiTheme="minorHAnsi" w:cs="Calibri"/>
          <w:color w:val="002060"/>
          <w:sz w:val="52"/>
          <w:szCs w:val="52"/>
        </w:rPr>
      </w:pPr>
      <w:r w:rsidRPr="00735E43">
        <w:rPr>
          <w:rFonts w:asciiTheme="minorHAnsi" w:eastAsia="Calibri" w:hAnsiTheme="minorHAnsi" w:cs="Calibri"/>
          <w:color w:val="002060"/>
          <w:sz w:val="52"/>
          <w:szCs w:val="52"/>
        </w:rPr>
        <w:lastRenderedPageBreak/>
        <w:t xml:space="preserve">FICHE EXPLICATIVE N°1 </w:t>
      </w:r>
    </w:p>
    <w:p w14:paraId="66529884" w14:textId="77777777" w:rsidR="003F02A7" w:rsidRPr="00735E43" w:rsidRDefault="003F02A7" w:rsidP="00735E43">
      <w:pPr>
        <w:pStyle w:val="Titre1"/>
        <w:rPr>
          <w:rFonts w:asciiTheme="minorHAnsi" w:eastAsia="Calibri" w:hAnsiTheme="minorHAnsi"/>
        </w:rPr>
      </w:pPr>
      <w:bookmarkStart w:id="18" w:name="_Toc220428535"/>
      <w:r w:rsidRPr="00735E43">
        <w:rPr>
          <w:rFonts w:asciiTheme="minorHAnsi" w:eastAsia="Calibri" w:hAnsiTheme="minorHAnsi"/>
        </w:rPr>
        <w:t>Bonus collectif</w:t>
      </w:r>
      <w:bookmarkEnd w:id="18"/>
    </w:p>
    <w:p w14:paraId="09B1E2F0" w14:textId="77777777" w:rsidR="003F02A7" w:rsidRPr="00735E43" w:rsidRDefault="003F02A7" w:rsidP="003F02A7">
      <w:pPr>
        <w:jc w:val="both"/>
      </w:pPr>
    </w:p>
    <w:p w14:paraId="117C4D4E" w14:textId="77777777" w:rsidR="003F02A7" w:rsidRPr="00735E43" w:rsidRDefault="003F02A7" w:rsidP="003F02A7">
      <w:pPr>
        <w:jc w:val="both"/>
      </w:pPr>
      <w:r w:rsidRPr="00735E43">
        <w:t>L’application d’un bonus est expliquée dans le régime et repris dans le règlement en point 3-2-b </w:t>
      </w:r>
    </w:p>
    <w:p w14:paraId="68AE6D72" w14:textId="77777777" w:rsidR="003F02A7" w:rsidRPr="00735E43" w:rsidRDefault="003F02A7" w:rsidP="003F02A7">
      <w:pPr>
        <w:jc w:val="both"/>
      </w:pPr>
      <w:r w:rsidRPr="00735E43">
        <w:t>Conformément au régime N° SA 115 044, l’opérateur PSE peut, s’il le souhaite, intégrer un bonus collectif permettant d’intensifier la rémunération du service environnemental rendu (au moyen de la modulation des valeurs guides), en fonction de la dynamique collective territoriale.</w:t>
      </w:r>
      <w:r w:rsidRPr="00735E43">
        <w:rPr>
          <w:rFonts w:ascii="Arial" w:hAnsi="Arial" w:cs="Arial"/>
        </w:rPr>
        <w:t> </w:t>
      </w:r>
      <w:r w:rsidRPr="00735E43">
        <w:rPr>
          <w:rFonts w:ascii="Aptos" w:hAnsi="Aptos" w:cs="Aptos"/>
        </w:rPr>
        <w:t>  </w:t>
      </w:r>
    </w:p>
    <w:p w14:paraId="229365C2" w14:textId="77777777" w:rsidR="000A1133" w:rsidRDefault="000A1133" w:rsidP="003F02A7">
      <w:pPr>
        <w:jc w:val="both"/>
      </w:pPr>
    </w:p>
    <w:p w14:paraId="06A98C87" w14:textId="51361368" w:rsidR="003F02A7" w:rsidRPr="00735E43" w:rsidRDefault="003F02A7" w:rsidP="003F02A7">
      <w:pPr>
        <w:jc w:val="both"/>
      </w:pPr>
      <w:r w:rsidRPr="00735E43">
        <w:t xml:space="preserve">Par exemple, sur l’indicateur d’exploitation « qualité de l’eau » (IFT </w:t>
      </w:r>
      <w:r w:rsidRPr="00735E43">
        <w:rPr>
          <w:vertAlign w:val="subscript"/>
        </w:rPr>
        <w:t>herbicides</w:t>
      </w:r>
      <w:r w:rsidRPr="00735E43">
        <w:t xml:space="preserve">/IFT </w:t>
      </w:r>
      <w:r w:rsidRPr="00735E43">
        <w:rPr>
          <w:vertAlign w:val="subscript"/>
        </w:rPr>
        <w:t>herbicides</w:t>
      </w:r>
      <w:r w:rsidRPr="00735E43">
        <w:t xml:space="preserve"> de référence), le bonus collectif peut être appliqué de cette façon (en </w:t>
      </w:r>
      <w:r w:rsidRPr="00735E43">
        <w:rPr>
          <w:b/>
          <w:bCs/>
          <w:color w:val="0F9ED5" w:themeColor="accent4"/>
        </w:rPr>
        <w:t xml:space="preserve">bleu </w:t>
      </w:r>
      <w:r w:rsidRPr="00735E43">
        <w:t>les critères pouvant être modulés par l’opérateur PSE)</w:t>
      </w:r>
      <w:r w:rsidRPr="00735E43">
        <w:rPr>
          <w:rFonts w:ascii="Arial" w:hAnsi="Arial" w:cs="Arial"/>
        </w:rPr>
        <w:t> </w:t>
      </w:r>
      <w:r w:rsidRPr="00735E43">
        <w:t>:</w:t>
      </w:r>
      <w:r w:rsidRPr="00735E43">
        <w:rPr>
          <w:rFonts w:ascii="Aptos" w:hAnsi="Aptos" w:cs="Aptos"/>
        </w:rPr>
        <w:t>  </w:t>
      </w:r>
    </w:p>
    <w:p w14:paraId="3180CFEA" w14:textId="77777777" w:rsidR="003F02A7" w:rsidRPr="00735E43" w:rsidRDefault="003F02A7" w:rsidP="003F02A7">
      <w:pPr>
        <w:numPr>
          <w:ilvl w:val="0"/>
          <w:numId w:val="20"/>
        </w:numPr>
        <w:spacing w:line="279" w:lineRule="auto"/>
        <w:jc w:val="both"/>
      </w:pPr>
      <w:proofErr w:type="gramStart"/>
      <w:r w:rsidRPr="00735E43">
        <w:t>la</w:t>
      </w:r>
      <w:proofErr w:type="gramEnd"/>
      <w:r w:rsidRPr="00735E43">
        <w:t> rémunération est calculée sur la base d’une valeur guide qui est en-deçà de la valeur guide maximum, par exemple à </w:t>
      </w:r>
      <w:r w:rsidRPr="00735E43">
        <w:rPr>
          <w:b/>
          <w:bCs/>
          <w:color w:val="0F9ED5" w:themeColor="accent4"/>
        </w:rPr>
        <w:t>130</w:t>
      </w:r>
      <w:r w:rsidRPr="00735E43">
        <w:t xml:space="preserve"> €/ha pour la transition et </w:t>
      </w:r>
      <w:r w:rsidRPr="00735E43">
        <w:rPr>
          <w:b/>
          <w:bCs/>
          <w:color w:val="0F9ED5" w:themeColor="accent4"/>
        </w:rPr>
        <w:t>75</w:t>
      </w:r>
      <w:r w:rsidRPr="00735E43">
        <w:t xml:space="preserve"> €/ha pour le maintien </w:t>
      </w:r>
    </w:p>
    <w:p w14:paraId="35B518AE" w14:textId="77777777" w:rsidR="003F02A7" w:rsidRPr="00735E43" w:rsidRDefault="003F02A7" w:rsidP="003F02A7">
      <w:pPr>
        <w:numPr>
          <w:ilvl w:val="0"/>
          <w:numId w:val="21"/>
        </w:numPr>
        <w:spacing w:line="279" w:lineRule="auto"/>
        <w:jc w:val="both"/>
      </w:pPr>
      <w:proofErr w:type="gramStart"/>
      <w:r w:rsidRPr="00735E43">
        <w:t>lorsque</w:t>
      </w:r>
      <w:proofErr w:type="gramEnd"/>
      <w:r w:rsidRPr="00735E43">
        <w:t> </w:t>
      </w:r>
      <w:r w:rsidRPr="00735E43">
        <w:rPr>
          <w:b/>
          <w:bCs/>
          <w:color w:val="0F9ED5" w:themeColor="accent4"/>
        </w:rPr>
        <w:t xml:space="preserve">60 </w:t>
      </w:r>
      <w:r w:rsidRPr="00735E43">
        <w:t xml:space="preserve">% des agriculteurs ont atteint la note de </w:t>
      </w:r>
      <w:r w:rsidRPr="00735E43">
        <w:rPr>
          <w:b/>
          <w:bCs/>
          <w:color w:val="0F9ED5" w:themeColor="accent4"/>
        </w:rPr>
        <w:t>6</w:t>
      </w:r>
      <w:r w:rsidRPr="00735E43">
        <w:rPr>
          <w:rFonts w:ascii="Arial" w:hAnsi="Arial" w:cs="Arial"/>
        </w:rPr>
        <w:t> </w:t>
      </w:r>
      <w:r w:rsidRPr="00735E43">
        <w:t>les valeurs guides sont montées au maximum, à savoir 260 €/ha pour la transition et 146 €/ha pour le maintien. </w:t>
      </w:r>
    </w:p>
    <w:p w14:paraId="7F80886C" w14:textId="77777777" w:rsidR="003F02A7" w:rsidRPr="00735E43" w:rsidRDefault="003F02A7" w:rsidP="003F02A7">
      <w:pPr>
        <w:jc w:val="both"/>
      </w:pPr>
      <w:r w:rsidRPr="00735E43">
        <w:t>Autre exemple, sur l’indicateur d’exploitation « eau dans le sol » (% de couverture du sol) sur un territoire viticole, le bonus collectif peut être appliqué de cette façon (en vert les critères pouvant être modulés par l’opérateur PSE)</w:t>
      </w:r>
      <w:r w:rsidRPr="00735E43">
        <w:rPr>
          <w:rFonts w:ascii="Arial" w:hAnsi="Arial" w:cs="Arial"/>
        </w:rPr>
        <w:t> </w:t>
      </w:r>
      <w:r w:rsidRPr="00735E43">
        <w:t>:</w:t>
      </w:r>
      <w:r w:rsidRPr="00735E43">
        <w:rPr>
          <w:rFonts w:ascii="Aptos" w:hAnsi="Aptos" w:cs="Aptos"/>
        </w:rPr>
        <w:t>  </w:t>
      </w:r>
    </w:p>
    <w:p w14:paraId="00FEA6CD" w14:textId="77777777" w:rsidR="003F02A7" w:rsidRPr="00735E43" w:rsidRDefault="003F02A7" w:rsidP="003F02A7">
      <w:pPr>
        <w:numPr>
          <w:ilvl w:val="0"/>
          <w:numId w:val="20"/>
        </w:numPr>
        <w:spacing w:line="279" w:lineRule="auto"/>
        <w:jc w:val="both"/>
      </w:pPr>
      <w:proofErr w:type="gramStart"/>
      <w:r w:rsidRPr="00735E43">
        <w:t>la</w:t>
      </w:r>
      <w:proofErr w:type="gramEnd"/>
      <w:r w:rsidRPr="00735E43">
        <w:t> rémunération est calculée sur la base d’une valeur guide qui est en-deçà de la valeur guide maximum, par exemple à </w:t>
      </w:r>
      <w:r w:rsidRPr="00735E43">
        <w:rPr>
          <w:b/>
          <w:bCs/>
          <w:color w:val="4EA72E" w:themeColor="accent6"/>
        </w:rPr>
        <w:t>130</w:t>
      </w:r>
      <w:r w:rsidRPr="00735E43">
        <w:t xml:space="preserve"> €/ha pour la transition et </w:t>
      </w:r>
      <w:r w:rsidRPr="00735E43">
        <w:rPr>
          <w:color w:val="4EA72E" w:themeColor="accent6"/>
        </w:rPr>
        <w:t xml:space="preserve">75 </w:t>
      </w:r>
      <w:r w:rsidRPr="00735E43">
        <w:t>€/ha pour le maintien </w:t>
      </w:r>
    </w:p>
    <w:p w14:paraId="4451BAD9" w14:textId="77777777" w:rsidR="003F02A7" w:rsidRPr="00735E43" w:rsidRDefault="003F02A7" w:rsidP="003F02A7">
      <w:pPr>
        <w:numPr>
          <w:ilvl w:val="0"/>
          <w:numId w:val="21"/>
        </w:numPr>
        <w:spacing w:line="279" w:lineRule="auto"/>
        <w:jc w:val="both"/>
      </w:pPr>
      <w:proofErr w:type="gramStart"/>
      <w:r w:rsidRPr="00735E43">
        <w:t>lorsque</w:t>
      </w:r>
      <w:proofErr w:type="gramEnd"/>
      <w:r w:rsidRPr="00735E43">
        <w:t> </w:t>
      </w:r>
      <w:r w:rsidRPr="00735E43">
        <w:rPr>
          <w:b/>
          <w:bCs/>
          <w:color w:val="4EA72E" w:themeColor="accent6"/>
        </w:rPr>
        <w:t>70</w:t>
      </w:r>
      <w:r w:rsidRPr="00735E43">
        <w:t xml:space="preserve">% des agriculteurs ont atteint la note correspondant à la couverture </w:t>
      </w:r>
      <w:r w:rsidRPr="00735E43">
        <w:rPr>
          <w:b/>
          <w:bCs/>
          <w:color w:val="4EA72E" w:themeColor="accent6"/>
        </w:rPr>
        <w:t>d’1 inter-rang sur 2</w:t>
      </w:r>
      <w:r w:rsidRPr="00735E43">
        <w:rPr>
          <w:color w:val="4EA72E" w:themeColor="accent6"/>
        </w:rPr>
        <w:t xml:space="preserve"> </w:t>
      </w:r>
      <w:r w:rsidRPr="00735E43">
        <w:t xml:space="preserve">(note de </w:t>
      </w:r>
      <w:r w:rsidRPr="00735E43">
        <w:rPr>
          <w:b/>
          <w:bCs/>
          <w:color w:val="4EA72E" w:themeColor="accent6"/>
        </w:rPr>
        <w:t>4</w:t>
      </w:r>
      <w:r w:rsidRPr="00735E43">
        <w:t>) </w:t>
      </w:r>
      <w:r w:rsidRPr="00735E43">
        <w:rPr>
          <w:rFonts w:ascii="Arial" w:hAnsi="Arial" w:cs="Arial"/>
        </w:rPr>
        <w:t> </w:t>
      </w:r>
      <w:r w:rsidRPr="00735E43">
        <w:t>les</w:t>
      </w:r>
      <w:r w:rsidRPr="00735E43">
        <w:rPr>
          <w:rFonts w:ascii="Aptos" w:hAnsi="Aptos" w:cs="Aptos"/>
        </w:rPr>
        <w:t> </w:t>
      </w:r>
      <w:r w:rsidRPr="00735E43">
        <w:t>valeurs guides sont mont</w:t>
      </w:r>
      <w:r w:rsidRPr="00735E43">
        <w:rPr>
          <w:rFonts w:ascii="Aptos" w:hAnsi="Aptos" w:cs="Aptos"/>
        </w:rPr>
        <w:t>é</w:t>
      </w:r>
      <w:r w:rsidRPr="00735E43">
        <w:t xml:space="preserve">es au maximum, </w:t>
      </w:r>
      <w:r w:rsidRPr="00735E43">
        <w:rPr>
          <w:rFonts w:ascii="Aptos" w:hAnsi="Aptos" w:cs="Aptos"/>
        </w:rPr>
        <w:t>à</w:t>
      </w:r>
      <w:r w:rsidRPr="00735E43">
        <w:t xml:space="preserve"> savoir</w:t>
      </w:r>
      <w:r w:rsidRPr="00735E43">
        <w:rPr>
          <w:rFonts w:ascii="Aptos" w:hAnsi="Aptos" w:cs="Aptos"/>
        </w:rPr>
        <w:t> </w:t>
      </w:r>
      <w:r w:rsidRPr="00735E43">
        <w:t>260</w:t>
      </w:r>
      <w:r w:rsidRPr="00735E43">
        <w:rPr>
          <w:rFonts w:ascii="Aptos" w:hAnsi="Aptos" w:cs="Aptos"/>
        </w:rPr>
        <w:t>€</w:t>
      </w:r>
      <w:r w:rsidRPr="00735E43">
        <w:t>/ha pour la transition et</w:t>
      </w:r>
      <w:r w:rsidRPr="00735E43">
        <w:rPr>
          <w:rFonts w:ascii="Aptos" w:hAnsi="Aptos" w:cs="Aptos"/>
        </w:rPr>
        <w:t> </w:t>
      </w:r>
      <w:r w:rsidRPr="00735E43">
        <w:t>146</w:t>
      </w:r>
      <w:r w:rsidRPr="00735E43">
        <w:rPr>
          <w:rFonts w:ascii="Aptos" w:hAnsi="Aptos" w:cs="Aptos"/>
        </w:rPr>
        <w:t> €</w:t>
      </w:r>
      <w:r w:rsidRPr="00735E43">
        <w:t>/ha pour le maintien.</w:t>
      </w:r>
      <w:r w:rsidRPr="00735E43">
        <w:rPr>
          <w:rFonts w:ascii="Aptos" w:hAnsi="Aptos" w:cs="Aptos"/>
        </w:rPr>
        <w:t> </w:t>
      </w:r>
    </w:p>
    <w:p w14:paraId="2431D845" w14:textId="77777777" w:rsidR="004B1207" w:rsidRDefault="004B1207" w:rsidP="003F02A7"/>
    <w:p w14:paraId="0E79EF67" w14:textId="07B62DBC" w:rsidR="003F02A7" w:rsidRDefault="004B1207" w:rsidP="00857C68">
      <w:pPr>
        <w:jc w:val="both"/>
      </w:pPr>
      <w:r>
        <w:t>D’autres formes de bonus collectifs peuvent être mis en œuvre</w:t>
      </w:r>
      <w:r w:rsidR="00152F69">
        <w:t xml:space="preserve"> sous réserve de validation par l’agence</w:t>
      </w:r>
      <w:r w:rsidR="002E37E3">
        <w:t xml:space="preserve">. </w:t>
      </w:r>
      <w:r w:rsidR="00746215">
        <w:t>Dans ce cadre l</w:t>
      </w:r>
      <w:r w:rsidR="002E37E3">
        <w:t xml:space="preserve">’agence </w:t>
      </w:r>
      <w:r w:rsidR="00746215">
        <w:t>sera</w:t>
      </w:r>
      <w:r w:rsidR="00BE6222">
        <w:t xml:space="preserve"> </w:t>
      </w:r>
      <w:r w:rsidR="00005B9B">
        <w:t>vigilante</w:t>
      </w:r>
      <w:r w:rsidR="00BE6222">
        <w:t xml:space="preserve"> à ce que les </w:t>
      </w:r>
      <w:r w:rsidR="009C6929">
        <w:t xml:space="preserve">modalités </w:t>
      </w:r>
      <w:r w:rsidR="00005B9B">
        <w:t>propos</w:t>
      </w:r>
      <w:r w:rsidR="009C6929">
        <w:t>ées</w:t>
      </w:r>
      <w:r w:rsidR="00BE6222">
        <w:t xml:space="preserve"> </w:t>
      </w:r>
      <w:r w:rsidR="00136FB2">
        <w:t xml:space="preserve">de bonus collectifs </w:t>
      </w:r>
      <w:r w:rsidR="00005B9B">
        <w:t xml:space="preserve">soient simples à </w:t>
      </w:r>
      <w:r w:rsidR="00884023">
        <w:t>appliquer</w:t>
      </w:r>
      <w:r w:rsidR="00005B9B">
        <w:t xml:space="preserve"> </w:t>
      </w:r>
      <w:r w:rsidR="00347C9A">
        <w:t xml:space="preserve">et soient </w:t>
      </w:r>
      <w:r w:rsidR="00B74E2A">
        <w:t xml:space="preserve">mobilisables </w:t>
      </w:r>
      <w:r w:rsidR="00615C17">
        <w:t>au travers de la plateforme</w:t>
      </w:r>
      <w:r w:rsidR="00857C68">
        <w:t xml:space="preserve"> </w:t>
      </w:r>
      <w:r w:rsidR="00857C68" w:rsidRPr="00857C68">
        <w:t xml:space="preserve">Internet </w:t>
      </w:r>
      <w:hyperlink r:id="rId16" w:history="1">
        <w:r w:rsidR="00857C68" w:rsidRPr="00857C68">
          <w:t>PSE Environnement</w:t>
        </w:r>
      </w:hyperlink>
      <w:r w:rsidR="00857C68">
        <w:t>.</w:t>
      </w:r>
    </w:p>
    <w:p w14:paraId="7C3EDA83" w14:textId="77777777" w:rsidR="004B1207" w:rsidRPr="00735E43" w:rsidRDefault="004B1207" w:rsidP="003F02A7"/>
    <w:p w14:paraId="76E1F5D1" w14:textId="77777777" w:rsidR="003F02A7" w:rsidRPr="00735E43" w:rsidRDefault="003F02A7" w:rsidP="003F02A7">
      <w:r w:rsidRPr="00735E43">
        <w:t>La mobilisation de bonus individuel construit sur une grille allant de 0 à 9 avec un point bonus (+1) si une exigence est respectée n’est pas permise.</w:t>
      </w:r>
    </w:p>
    <w:p w14:paraId="154873D2" w14:textId="07732688" w:rsidR="00DC608A" w:rsidRPr="00AF773D" w:rsidRDefault="00DC608A" w:rsidP="00F24078">
      <w:pPr>
        <w:rPr>
          <w:rFonts w:eastAsia="Aptos" w:cs="Aptos"/>
        </w:rPr>
      </w:pPr>
    </w:p>
    <w:sectPr w:rsidR="00DC608A" w:rsidRPr="00AF773D" w:rsidSect="006A7F19">
      <w:headerReference w:type="default" r:id="rId17"/>
      <w:footerReference w:type="default" r:id="rId18"/>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ED108" w14:textId="77777777" w:rsidR="00D43B44" w:rsidRDefault="00D43B44" w:rsidP="00F24A04">
      <w:pPr>
        <w:spacing w:after="0" w:line="240" w:lineRule="auto"/>
      </w:pPr>
      <w:r>
        <w:separator/>
      </w:r>
    </w:p>
  </w:endnote>
  <w:endnote w:type="continuationSeparator" w:id="0">
    <w:p w14:paraId="62865F63" w14:textId="77777777" w:rsidR="00D43B44" w:rsidRDefault="00D43B44" w:rsidP="00F24A04">
      <w:pPr>
        <w:spacing w:after="0" w:line="240" w:lineRule="auto"/>
      </w:pPr>
      <w:r>
        <w:continuationSeparator/>
      </w:r>
    </w:p>
  </w:endnote>
  <w:endnote w:type="continuationNotice" w:id="1">
    <w:p w14:paraId="05D700F6" w14:textId="77777777" w:rsidR="00D43B44" w:rsidRDefault="00D43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630762"/>
      <w:docPartObj>
        <w:docPartGallery w:val="Page Numbers (Bottom of Page)"/>
        <w:docPartUnique/>
      </w:docPartObj>
    </w:sdtPr>
    <w:sdtEndPr/>
    <w:sdtContent>
      <w:p w14:paraId="58D2A1BB" w14:textId="77CA2635" w:rsidR="00D30E59" w:rsidRDefault="00D30E59">
        <w:pPr>
          <w:pStyle w:val="Pieddepage"/>
          <w:jc w:val="center"/>
        </w:pPr>
        <w:r>
          <w:fldChar w:fldCharType="begin"/>
        </w:r>
        <w:r>
          <w:instrText>PAGE   \* MERGEFORMAT</w:instrText>
        </w:r>
        <w:r>
          <w:fldChar w:fldCharType="separate"/>
        </w:r>
        <w:r>
          <w:t>2</w:t>
        </w:r>
        <w:r>
          <w:fldChar w:fldCharType="end"/>
        </w:r>
      </w:p>
    </w:sdtContent>
  </w:sdt>
  <w:p w14:paraId="5807A831" w14:textId="77777777" w:rsidR="00D30E59" w:rsidRDefault="00D30E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4BD7A" w14:textId="77777777" w:rsidR="00D43B44" w:rsidRDefault="00D43B44" w:rsidP="00F24A04">
      <w:pPr>
        <w:spacing w:after="0" w:line="240" w:lineRule="auto"/>
      </w:pPr>
      <w:r>
        <w:separator/>
      </w:r>
    </w:p>
  </w:footnote>
  <w:footnote w:type="continuationSeparator" w:id="0">
    <w:p w14:paraId="6393FA05" w14:textId="77777777" w:rsidR="00D43B44" w:rsidRDefault="00D43B44" w:rsidP="00F24A04">
      <w:pPr>
        <w:spacing w:after="0" w:line="240" w:lineRule="auto"/>
      </w:pPr>
      <w:r>
        <w:continuationSeparator/>
      </w:r>
    </w:p>
  </w:footnote>
  <w:footnote w:type="continuationNotice" w:id="1">
    <w:p w14:paraId="692BF697" w14:textId="77777777" w:rsidR="00D43B44" w:rsidRDefault="00D43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E1303" w14:textId="469DA02D" w:rsidR="00D30E59" w:rsidRDefault="00F24078" w:rsidP="00F24078">
    <w:pPr>
      <w:pStyle w:val="En-tte"/>
      <w:tabs>
        <w:tab w:val="left" w:pos="1941"/>
      </w:tabs>
    </w:pPr>
    <w:r>
      <w:rPr>
        <w:noProof/>
      </w:rPr>
      <w:drawing>
        <wp:anchor distT="0" distB="0" distL="114300" distR="114300" simplePos="0" relativeHeight="251658241" behindDoc="0" locked="0" layoutInCell="1" allowOverlap="1" wp14:anchorId="2B34EF1B" wp14:editId="2F9BC86A">
          <wp:simplePos x="0" y="0"/>
          <wp:positionH relativeFrom="column">
            <wp:posOffset>5180965</wp:posOffset>
          </wp:positionH>
          <wp:positionV relativeFrom="paragraph">
            <wp:posOffset>-327025</wp:posOffset>
          </wp:positionV>
          <wp:extent cx="889000" cy="884555"/>
          <wp:effectExtent l="0" t="0" r="0" b="0"/>
          <wp:wrapNone/>
          <wp:docPr id="503340034" name="Image 2" descr="Une image contenant texte, dessin humoristique, logo, ve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789144" name="Image 2" descr="Une image contenant texte, dessin humoristique, logo, vert&#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000"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8EFA0A2" wp14:editId="40AF1332">
          <wp:simplePos x="0" y="0"/>
          <wp:positionH relativeFrom="column">
            <wp:posOffset>-620201</wp:posOffset>
          </wp:positionH>
          <wp:positionV relativeFrom="paragraph">
            <wp:posOffset>-301874</wp:posOffset>
          </wp:positionV>
          <wp:extent cx="1949629" cy="857250"/>
          <wp:effectExtent l="0" t="0" r="0" b="0"/>
          <wp:wrapNone/>
          <wp:docPr id="1312763030" name="Image 3" descr="Une image contenant texte, Police, logo,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1052" name="Image 3" descr="Une image contenant texte, Police, logo, graphisme&#10;&#10;Le contenu généré par l’IA peut êtr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9629"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79D2B745" w14:textId="4F1B63BC" w:rsidR="00F24A04" w:rsidRDefault="00F24A0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24AB18C"/>
    <w:lvl w:ilvl="0">
      <w:start w:val="1"/>
      <w:numFmt w:val="bullet"/>
      <w:pStyle w:val="Listepuces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E166C270"/>
    <w:lvl w:ilvl="0">
      <w:start w:val="1"/>
      <w:numFmt w:val="bullet"/>
      <w:pStyle w:val="Listepuces2"/>
      <w:lvlText w:val=""/>
      <w:lvlJc w:val="left"/>
      <w:pPr>
        <w:tabs>
          <w:tab w:val="num" w:pos="720"/>
        </w:tabs>
        <w:ind w:left="720" w:hanging="360"/>
      </w:pPr>
      <w:rPr>
        <w:rFonts w:ascii="Symbol" w:hAnsi="Symbol" w:hint="default"/>
      </w:rPr>
    </w:lvl>
  </w:abstractNum>
  <w:abstractNum w:abstractNumId="2" w15:restartNumberingAfterBreak="0">
    <w:nsid w:val="073D5098"/>
    <w:multiLevelType w:val="hybridMultilevel"/>
    <w:tmpl w:val="4D10D6E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19828DA"/>
    <w:multiLevelType w:val="hybridMultilevel"/>
    <w:tmpl w:val="64126B0E"/>
    <w:lvl w:ilvl="0" w:tplc="41B4FA6A">
      <w:numFmt w:val="bullet"/>
      <w:lvlText w:val="-"/>
      <w:lvlJc w:val="left"/>
      <w:pPr>
        <w:ind w:left="720" w:hanging="360"/>
      </w:pPr>
      <w:rPr>
        <w:rFonts w:ascii="Cambria" w:eastAsia="SimSun" w:hAnsi="Cambria" w:cs="F"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ED58E1"/>
    <w:multiLevelType w:val="hybridMultilevel"/>
    <w:tmpl w:val="CC0EF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D62DB3"/>
    <w:multiLevelType w:val="hybridMultilevel"/>
    <w:tmpl w:val="CC0A2F2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5E92D7D"/>
    <w:multiLevelType w:val="hybridMultilevel"/>
    <w:tmpl w:val="11265708"/>
    <w:lvl w:ilvl="0" w:tplc="48BA803A">
      <w:start w:val="1"/>
      <w:numFmt w:val="decimal"/>
      <w:lvlText w:val="1-"/>
      <w:lvlJc w:val="left"/>
      <w:pPr>
        <w:ind w:left="720" w:hanging="360"/>
      </w:pPr>
    </w:lvl>
    <w:lvl w:ilvl="1" w:tplc="B4B6527A">
      <w:start w:val="1"/>
      <w:numFmt w:val="lowerLetter"/>
      <w:lvlText w:val="%2."/>
      <w:lvlJc w:val="left"/>
      <w:pPr>
        <w:ind w:left="1440" w:hanging="360"/>
      </w:pPr>
    </w:lvl>
    <w:lvl w:ilvl="2" w:tplc="98209AA4">
      <w:start w:val="1"/>
      <w:numFmt w:val="lowerRoman"/>
      <w:lvlText w:val="%3."/>
      <w:lvlJc w:val="right"/>
      <w:pPr>
        <w:ind w:left="2160" w:hanging="180"/>
      </w:pPr>
    </w:lvl>
    <w:lvl w:ilvl="3" w:tplc="0E6A60D6">
      <w:start w:val="1"/>
      <w:numFmt w:val="decimal"/>
      <w:lvlText w:val="%4."/>
      <w:lvlJc w:val="left"/>
      <w:pPr>
        <w:ind w:left="2880" w:hanging="360"/>
      </w:pPr>
    </w:lvl>
    <w:lvl w:ilvl="4" w:tplc="83549D9C">
      <w:start w:val="1"/>
      <w:numFmt w:val="lowerLetter"/>
      <w:lvlText w:val="%5."/>
      <w:lvlJc w:val="left"/>
      <w:pPr>
        <w:ind w:left="3600" w:hanging="360"/>
      </w:pPr>
    </w:lvl>
    <w:lvl w:ilvl="5" w:tplc="D1DEF1A6">
      <w:start w:val="1"/>
      <w:numFmt w:val="lowerRoman"/>
      <w:lvlText w:val="%6."/>
      <w:lvlJc w:val="right"/>
      <w:pPr>
        <w:ind w:left="4320" w:hanging="180"/>
      </w:pPr>
    </w:lvl>
    <w:lvl w:ilvl="6" w:tplc="375E89B0">
      <w:start w:val="1"/>
      <w:numFmt w:val="decimal"/>
      <w:lvlText w:val="%7."/>
      <w:lvlJc w:val="left"/>
      <w:pPr>
        <w:ind w:left="5040" w:hanging="360"/>
      </w:pPr>
    </w:lvl>
    <w:lvl w:ilvl="7" w:tplc="940E707A">
      <w:start w:val="1"/>
      <w:numFmt w:val="lowerLetter"/>
      <w:lvlText w:val="%8."/>
      <w:lvlJc w:val="left"/>
      <w:pPr>
        <w:ind w:left="5760" w:hanging="360"/>
      </w:pPr>
    </w:lvl>
    <w:lvl w:ilvl="8" w:tplc="5A90C9E0">
      <w:start w:val="1"/>
      <w:numFmt w:val="lowerRoman"/>
      <w:lvlText w:val="%9."/>
      <w:lvlJc w:val="right"/>
      <w:pPr>
        <w:ind w:left="6480" w:hanging="180"/>
      </w:pPr>
    </w:lvl>
  </w:abstractNum>
  <w:abstractNum w:abstractNumId="7" w15:restartNumberingAfterBreak="0">
    <w:nsid w:val="2DCB0153"/>
    <w:multiLevelType w:val="hybridMultilevel"/>
    <w:tmpl w:val="300475BC"/>
    <w:lvl w:ilvl="0" w:tplc="91282126">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E8F6556"/>
    <w:multiLevelType w:val="hybridMultilevel"/>
    <w:tmpl w:val="A6ACC598"/>
    <w:lvl w:ilvl="0" w:tplc="5DBC84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A7701D"/>
    <w:multiLevelType w:val="hybridMultilevel"/>
    <w:tmpl w:val="A73667B6"/>
    <w:lvl w:ilvl="0" w:tplc="8248738E">
      <w:start w:val="1"/>
      <w:numFmt w:val="upp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0" w15:restartNumberingAfterBreak="0">
    <w:nsid w:val="4DE876B7"/>
    <w:multiLevelType w:val="hybridMultilevel"/>
    <w:tmpl w:val="DFBE1588"/>
    <w:lvl w:ilvl="0" w:tplc="895E57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E3C23E5"/>
    <w:multiLevelType w:val="hybridMultilevel"/>
    <w:tmpl w:val="176E4216"/>
    <w:lvl w:ilvl="0" w:tplc="5AFE38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F757071"/>
    <w:multiLevelType w:val="multilevel"/>
    <w:tmpl w:val="02EA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FE6782B"/>
    <w:multiLevelType w:val="hybridMultilevel"/>
    <w:tmpl w:val="DFBE15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791C2A"/>
    <w:multiLevelType w:val="hybridMultilevel"/>
    <w:tmpl w:val="DFBE15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B61B8C"/>
    <w:multiLevelType w:val="hybridMultilevel"/>
    <w:tmpl w:val="C38ED9F4"/>
    <w:lvl w:ilvl="0" w:tplc="B9F0DEBC">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4571EBC"/>
    <w:multiLevelType w:val="hybridMultilevel"/>
    <w:tmpl w:val="9460C608"/>
    <w:lvl w:ilvl="0" w:tplc="A1C45CB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C082D8D"/>
    <w:multiLevelType w:val="hybridMultilevel"/>
    <w:tmpl w:val="5C12B3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56737F7"/>
    <w:multiLevelType w:val="multilevel"/>
    <w:tmpl w:val="752E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4190921">
    <w:abstractNumId w:val="1"/>
  </w:num>
  <w:num w:numId="2" w16cid:durableId="1741559318">
    <w:abstractNumId w:val="0"/>
  </w:num>
  <w:num w:numId="3" w16cid:durableId="1765298041">
    <w:abstractNumId w:val="5"/>
  </w:num>
  <w:num w:numId="4" w16cid:durableId="734015928">
    <w:abstractNumId w:val="11"/>
  </w:num>
  <w:num w:numId="5" w16cid:durableId="2014987373">
    <w:abstractNumId w:val="7"/>
  </w:num>
  <w:num w:numId="6" w16cid:durableId="94832301">
    <w:abstractNumId w:val="9"/>
  </w:num>
  <w:num w:numId="7" w16cid:durableId="894699314">
    <w:abstractNumId w:val="15"/>
  </w:num>
  <w:num w:numId="8" w16cid:durableId="1562522193">
    <w:abstractNumId w:val="2"/>
  </w:num>
  <w:num w:numId="9" w16cid:durableId="15274437">
    <w:abstractNumId w:val="6"/>
  </w:num>
  <w:num w:numId="10" w16cid:durableId="2015062367">
    <w:abstractNumId w:val="3"/>
  </w:num>
  <w:num w:numId="11" w16cid:durableId="1313560249">
    <w:abstractNumId w:val="16"/>
  </w:num>
  <w:num w:numId="12" w16cid:durableId="825508415">
    <w:abstractNumId w:val="17"/>
  </w:num>
  <w:num w:numId="13" w16cid:durableId="325474417">
    <w:abstractNumId w:val="4"/>
  </w:num>
  <w:num w:numId="14" w16cid:durableId="1823303551">
    <w:abstractNumId w:val="10"/>
  </w:num>
  <w:num w:numId="15" w16cid:durableId="1361276779">
    <w:abstractNumId w:val="8"/>
  </w:num>
  <w:num w:numId="16" w16cid:durableId="1607036513">
    <w:abstractNumId w:val="15"/>
  </w:num>
  <w:num w:numId="17" w16cid:durableId="1080715661">
    <w:abstractNumId w:val="15"/>
    <w:lvlOverride w:ilvl="0">
      <w:startOverride w:val="1"/>
    </w:lvlOverride>
  </w:num>
  <w:num w:numId="18" w16cid:durableId="1280913229">
    <w:abstractNumId w:val="13"/>
  </w:num>
  <w:num w:numId="19" w16cid:durableId="615521214">
    <w:abstractNumId w:val="14"/>
  </w:num>
  <w:num w:numId="20" w16cid:durableId="629214004">
    <w:abstractNumId w:val="18"/>
  </w:num>
  <w:num w:numId="21" w16cid:durableId="14952220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86"/>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1B4"/>
    <w:rsid w:val="00005B9B"/>
    <w:rsid w:val="00010192"/>
    <w:rsid w:val="00015B8A"/>
    <w:rsid w:val="00074204"/>
    <w:rsid w:val="00082C4F"/>
    <w:rsid w:val="000861F7"/>
    <w:rsid w:val="000A0AA5"/>
    <w:rsid w:val="000A1133"/>
    <w:rsid w:val="000A5F04"/>
    <w:rsid w:val="000F2A5C"/>
    <w:rsid w:val="00110EA6"/>
    <w:rsid w:val="00111FF0"/>
    <w:rsid w:val="00122DF2"/>
    <w:rsid w:val="00126BCF"/>
    <w:rsid w:val="00130ED4"/>
    <w:rsid w:val="00136FB2"/>
    <w:rsid w:val="0013783D"/>
    <w:rsid w:val="00147DAA"/>
    <w:rsid w:val="001529AD"/>
    <w:rsid w:val="00152F69"/>
    <w:rsid w:val="00170318"/>
    <w:rsid w:val="0018312F"/>
    <w:rsid w:val="00196C4C"/>
    <w:rsid w:val="001C6E4F"/>
    <w:rsid w:val="001D7003"/>
    <w:rsid w:val="002159D3"/>
    <w:rsid w:val="00215E17"/>
    <w:rsid w:val="00233C6B"/>
    <w:rsid w:val="00250E6C"/>
    <w:rsid w:val="002651F3"/>
    <w:rsid w:val="002841D0"/>
    <w:rsid w:val="00286369"/>
    <w:rsid w:val="002873AA"/>
    <w:rsid w:val="002D2B15"/>
    <w:rsid w:val="002E37E3"/>
    <w:rsid w:val="00303946"/>
    <w:rsid w:val="00311ECB"/>
    <w:rsid w:val="003140F7"/>
    <w:rsid w:val="00334518"/>
    <w:rsid w:val="00347C9A"/>
    <w:rsid w:val="0035401A"/>
    <w:rsid w:val="00366486"/>
    <w:rsid w:val="0037568D"/>
    <w:rsid w:val="00382A16"/>
    <w:rsid w:val="003969CE"/>
    <w:rsid w:val="003A134F"/>
    <w:rsid w:val="003E4205"/>
    <w:rsid w:val="003E460C"/>
    <w:rsid w:val="003F02A7"/>
    <w:rsid w:val="004113AB"/>
    <w:rsid w:val="00425CD9"/>
    <w:rsid w:val="00446B67"/>
    <w:rsid w:val="004662C8"/>
    <w:rsid w:val="00493875"/>
    <w:rsid w:val="004A7C72"/>
    <w:rsid w:val="004B1207"/>
    <w:rsid w:val="004B1932"/>
    <w:rsid w:val="004C292E"/>
    <w:rsid w:val="004C50AB"/>
    <w:rsid w:val="004D75C8"/>
    <w:rsid w:val="004F7755"/>
    <w:rsid w:val="00553D15"/>
    <w:rsid w:val="00563B79"/>
    <w:rsid w:val="0057300D"/>
    <w:rsid w:val="005A5AB6"/>
    <w:rsid w:val="005A69CE"/>
    <w:rsid w:val="005B58F0"/>
    <w:rsid w:val="005C0E16"/>
    <w:rsid w:val="005D2D13"/>
    <w:rsid w:val="005D44CF"/>
    <w:rsid w:val="006019A9"/>
    <w:rsid w:val="00601A99"/>
    <w:rsid w:val="0060567D"/>
    <w:rsid w:val="00615C17"/>
    <w:rsid w:val="00617E7F"/>
    <w:rsid w:val="00626C29"/>
    <w:rsid w:val="0065571E"/>
    <w:rsid w:val="00655F93"/>
    <w:rsid w:val="00672A47"/>
    <w:rsid w:val="006826F8"/>
    <w:rsid w:val="006A7F19"/>
    <w:rsid w:val="006B2E09"/>
    <w:rsid w:val="006B4185"/>
    <w:rsid w:val="006C7C19"/>
    <w:rsid w:val="006D07BF"/>
    <w:rsid w:val="006F59BC"/>
    <w:rsid w:val="00733B24"/>
    <w:rsid w:val="00735058"/>
    <w:rsid w:val="00735E43"/>
    <w:rsid w:val="00746215"/>
    <w:rsid w:val="00753590"/>
    <w:rsid w:val="00755AB8"/>
    <w:rsid w:val="007E6507"/>
    <w:rsid w:val="007F6F2F"/>
    <w:rsid w:val="00826847"/>
    <w:rsid w:val="008411EC"/>
    <w:rsid w:val="00857C68"/>
    <w:rsid w:val="00861913"/>
    <w:rsid w:val="00872878"/>
    <w:rsid w:val="008747CD"/>
    <w:rsid w:val="00884023"/>
    <w:rsid w:val="0089214F"/>
    <w:rsid w:val="00896F1E"/>
    <w:rsid w:val="008A00B6"/>
    <w:rsid w:val="008A21FA"/>
    <w:rsid w:val="008C5DF4"/>
    <w:rsid w:val="008E4A7E"/>
    <w:rsid w:val="008F0078"/>
    <w:rsid w:val="008F7D9D"/>
    <w:rsid w:val="00914622"/>
    <w:rsid w:val="0096450D"/>
    <w:rsid w:val="00973748"/>
    <w:rsid w:val="0098661E"/>
    <w:rsid w:val="009A2195"/>
    <w:rsid w:val="009C6929"/>
    <w:rsid w:val="009E785C"/>
    <w:rsid w:val="009F0EF9"/>
    <w:rsid w:val="00A10FE9"/>
    <w:rsid w:val="00A1200F"/>
    <w:rsid w:val="00A4447D"/>
    <w:rsid w:val="00A513BF"/>
    <w:rsid w:val="00A56E3F"/>
    <w:rsid w:val="00A66B2E"/>
    <w:rsid w:val="00A903A0"/>
    <w:rsid w:val="00AE5D16"/>
    <w:rsid w:val="00AE64C6"/>
    <w:rsid w:val="00AF7327"/>
    <w:rsid w:val="00AF773D"/>
    <w:rsid w:val="00B13AC2"/>
    <w:rsid w:val="00B17633"/>
    <w:rsid w:val="00B62E45"/>
    <w:rsid w:val="00B74E2A"/>
    <w:rsid w:val="00B8071D"/>
    <w:rsid w:val="00B87CBB"/>
    <w:rsid w:val="00BB1844"/>
    <w:rsid w:val="00BE6222"/>
    <w:rsid w:val="00BE6345"/>
    <w:rsid w:val="00BF1157"/>
    <w:rsid w:val="00BF78C5"/>
    <w:rsid w:val="00C00EBE"/>
    <w:rsid w:val="00C14536"/>
    <w:rsid w:val="00C32CAA"/>
    <w:rsid w:val="00C376A3"/>
    <w:rsid w:val="00C40FC8"/>
    <w:rsid w:val="00C50FF8"/>
    <w:rsid w:val="00C567D2"/>
    <w:rsid w:val="00C56BF6"/>
    <w:rsid w:val="00C72AF6"/>
    <w:rsid w:val="00C85EB9"/>
    <w:rsid w:val="00CB31B4"/>
    <w:rsid w:val="00CD2F6B"/>
    <w:rsid w:val="00CE0BAA"/>
    <w:rsid w:val="00D01204"/>
    <w:rsid w:val="00D20D14"/>
    <w:rsid w:val="00D30E59"/>
    <w:rsid w:val="00D35B7B"/>
    <w:rsid w:val="00D43B44"/>
    <w:rsid w:val="00D63068"/>
    <w:rsid w:val="00D70406"/>
    <w:rsid w:val="00D92C1A"/>
    <w:rsid w:val="00DB104D"/>
    <w:rsid w:val="00DC608A"/>
    <w:rsid w:val="00DD1F20"/>
    <w:rsid w:val="00DD7C19"/>
    <w:rsid w:val="00E35955"/>
    <w:rsid w:val="00E940CB"/>
    <w:rsid w:val="00EC1572"/>
    <w:rsid w:val="00ED3346"/>
    <w:rsid w:val="00F24078"/>
    <w:rsid w:val="00F24A04"/>
    <w:rsid w:val="00F44A3E"/>
    <w:rsid w:val="00F9440E"/>
    <w:rsid w:val="00FC69E5"/>
    <w:rsid w:val="00FE2D47"/>
    <w:rsid w:val="00FF35F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27D8B"/>
  <w15:chartTrackingRefBased/>
  <w15:docId w15:val="{B9850B45-61C2-467A-9375-7979232D0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626C29"/>
    <w:pPr>
      <w:keepNext/>
      <w:keepLines/>
      <w:pBdr>
        <w:bottom w:val="single" w:sz="4" w:space="1" w:color="auto"/>
      </w:pBdr>
      <w:spacing w:before="360" w:after="240"/>
      <w:jc w:val="center"/>
      <w:outlineLvl w:val="0"/>
    </w:pPr>
    <w:rPr>
      <w:rFonts w:asciiTheme="majorHAnsi" w:eastAsiaTheme="majorEastAsia" w:hAnsiTheme="majorHAnsi" w:cstheme="majorBidi"/>
      <w:color w:val="002060"/>
      <w:sz w:val="40"/>
      <w:szCs w:val="40"/>
    </w:rPr>
  </w:style>
  <w:style w:type="paragraph" w:styleId="Titre2">
    <w:name w:val="heading 2"/>
    <w:basedOn w:val="Normal"/>
    <w:next w:val="Normal"/>
    <w:link w:val="Titre2Car"/>
    <w:autoRedefine/>
    <w:uiPriority w:val="9"/>
    <w:unhideWhenUsed/>
    <w:qFormat/>
    <w:rsid w:val="00CB31B4"/>
    <w:pPr>
      <w:keepNext/>
      <w:keepLines/>
      <w:numPr>
        <w:numId w:val="7"/>
      </w:numPr>
      <w:spacing w:before="200" w:after="0" w:line="276" w:lineRule="auto"/>
      <w:jc w:val="both"/>
      <w:outlineLvl w:val="1"/>
    </w:pPr>
    <w:rPr>
      <w:rFonts w:asciiTheme="majorHAnsi" w:eastAsiaTheme="majorEastAsia" w:hAnsiTheme="majorHAnsi" w:cstheme="majorBidi"/>
      <w:color w:val="2C7FCE" w:themeColor="text2" w:themeTint="99"/>
      <w:kern w:val="0"/>
      <w:sz w:val="26"/>
      <w:szCs w:val="26"/>
      <w14:ligatures w14:val="none"/>
    </w:rPr>
  </w:style>
  <w:style w:type="paragraph" w:styleId="Titre3">
    <w:name w:val="heading 3"/>
    <w:basedOn w:val="Normal"/>
    <w:next w:val="Normal"/>
    <w:link w:val="Titre3Car"/>
    <w:uiPriority w:val="9"/>
    <w:semiHidden/>
    <w:unhideWhenUsed/>
    <w:qFormat/>
    <w:rsid w:val="00CB31B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CB31B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B31B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B31B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B31B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B31B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B31B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26C29"/>
    <w:rPr>
      <w:rFonts w:asciiTheme="majorHAnsi" w:eastAsiaTheme="majorEastAsia" w:hAnsiTheme="majorHAnsi" w:cstheme="majorBidi"/>
      <w:color w:val="002060"/>
      <w:sz w:val="40"/>
      <w:szCs w:val="40"/>
    </w:rPr>
  </w:style>
  <w:style w:type="character" w:customStyle="1" w:styleId="Titre2Car">
    <w:name w:val="Titre 2 Car"/>
    <w:basedOn w:val="Policepardfaut"/>
    <w:link w:val="Titre2"/>
    <w:uiPriority w:val="9"/>
    <w:rsid w:val="00CB31B4"/>
    <w:rPr>
      <w:rFonts w:asciiTheme="majorHAnsi" w:eastAsiaTheme="majorEastAsia" w:hAnsiTheme="majorHAnsi" w:cstheme="majorBidi"/>
      <w:color w:val="2C7FCE" w:themeColor="text2" w:themeTint="99"/>
      <w:kern w:val="0"/>
      <w:sz w:val="26"/>
      <w:szCs w:val="26"/>
      <w14:ligatures w14:val="none"/>
    </w:rPr>
  </w:style>
  <w:style w:type="character" w:customStyle="1" w:styleId="Titre3Car">
    <w:name w:val="Titre 3 Car"/>
    <w:basedOn w:val="Policepardfaut"/>
    <w:link w:val="Titre3"/>
    <w:uiPriority w:val="9"/>
    <w:semiHidden/>
    <w:rsid w:val="00CB31B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CB31B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B31B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B31B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B31B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B31B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B31B4"/>
    <w:rPr>
      <w:rFonts w:eastAsiaTheme="majorEastAsia" w:cstheme="majorBidi"/>
      <w:color w:val="272727" w:themeColor="text1" w:themeTint="D8"/>
    </w:rPr>
  </w:style>
  <w:style w:type="paragraph" w:styleId="Titre">
    <w:name w:val="Title"/>
    <w:basedOn w:val="Normal"/>
    <w:next w:val="Normal"/>
    <w:link w:val="TitreCar"/>
    <w:uiPriority w:val="10"/>
    <w:qFormat/>
    <w:rsid w:val="00CB31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B31B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B31B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B31B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B31B4"/>
    <w:pPr>
      <w:spacing w:before="160"/>
      <w:jc w:val="center"/>
    </w:pPr>
    <w:rPr>
      <w:i/>
      <w:iCs/>
      <w:color w:val="404040" w:themeColor="text1" w:themeTint="BF"/>
    </w:rPr>
  </w:style>
  <w:style w:type="character" w:customStyle="1" w:styleId="CitationCar">
    <w:name w:val="Citation Car"/>
    <w:basedOn w:val="Policepardfaut"/>
    <w:link w:val="Citation"/>
    <w:uiPriority w:val="29"/>
    <w:rsid w:val="00CB31B4"/>
    <w:rPr>
      <w:i/>
      <w:iCs/>
      <w:color w:val="404040" w:themeColor="text1" w:themeTint="BF"/>
    </w:rPr>
  </w:style>
  <w:style w:type="paragraph" w:styleId="Paragraphedeliste">
    <w:name w:val="List Paragraph"/>
    <w:basedOn w:val="Normal"/>
    <w:uiPriority w:val="34"/>
    <w:qFormat/>
    <w:rsid w:val="00CB31B4"/>
    <w:pPr>
      <w:ind w:left="720"/>
      <w:contextualSpacing/>
    </w:pPr>
  </w:style>
  <w:style w:type="character" w:styleId="Accentuationintense">
    <w:name w:val="Intense Emphasis"/>
    <w:basedOn w:val="Policepardfaut"/>
    <w:uiPriority w:val="21"/>
    <w:qFormat/>
    <w:rsid w:val="00CB31B4"/>
    <w:rPr>
      <w:i/>
      <w:iCs/>
      <w:color w:val="0F4761" w:themeColor="accent1" w:themeShade="BF"/>
    </w:rPr>
  </w:style>
  <w:style w:type="paragraph" w:styleId="Citationintense">
    <w:name w:val="Intense Quote"/>
    <w:basedOn w:val="Normal"/>
    <w:next w:val="Normal"/>
    <w:link w:val="CitationintenseCar"/>
    <w:uiPriority w:val="30"/>
    <w:qFormat/>
    <w:rsid w:val="00CB31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B31B4"/>
    <w:rPr>
      <w:i/>
      <w:iCs/>
      <w:color w:val="0F4761" w:themeColor="accent1" w:themeShade="BF"/>
    </w:rPr>
  </w:style>
  <w:style w:type="character" w:styleId="Rfrenceintense">
    <w:name w:val="Intense Reference"/>
    <w:basedOn w:val="Policepardfaut"/>
    <w:uiPriority w:val="32"/>
    <w:qFormat/>
    <w:rsid w:val="00CB31B4"/>
    <w:rPr>
      <w:b/>
      <w:bCs/>
      <w:smallCaps/>
      <w:color w:val="0F4761" w:themeColor="accent1" w:themeShade="BF"/>
      <w:spacing w:val="5"/>
    </w:rPr>
  </w:style>
  <w:style w:type="paragraph" w:styleId="Listepuces2">
    <w:name w:val="List Bullet 2"/>
    <w:basedOn w:val="Normal"/>
    <w:uiPriority w:val="99"/>
    <w:unhideWhenUsed/>
    <w:rsid w:val="00CB31B4"/>
    <w:pPr>
      <w:numPr>
        <w:numId w:val="1"/>
      </w:numPr>
      <w:spacing w:after="200" w:line="276" w:lineRule="auto"/>
      <w:contextualSpacing/>
    </w:pPr>
    <w:rPr>
      <w:rFonts w:eastAsiaTheme="minorEastAsia"/>
      <w:kern w:val="0"/>
      <w14:ligatures w14:val="none"/>
    </w:rPr>
  </w:style>
  <w:style w:type="paragraph" w:styleId="Listepuces3">
    <w:name w:val="List Bullet 3"/>
    <w:basedOn w:val="Normal"/>
    <w:uiPriority w:val="99"/>
    <w:unhideWhenUsed/>
    <w:rsid w:val="00CB31B4"/>
    <w:pPr>
      <w:numPr>
        <w:numId w:val="2"/>
      </w:numPr>
      <w:spacing w:after="200" w:line="276" w:lineRule="auto"/>
      <w:contextualSpacing/>
    </w:pPr>
    <w:rPr>
      <w:rFonts w:eastAsiaTheme="minorEastAsia"/>
      <w:kern w:val="0"/>
      <w14:ligatures w14:val="none"/>
    </w:rPr>
  </w:style>
  <w:style w:type="character" w:styleId="Lienhypertexte">
    <w:name w:val="Hyperlink"/>
    <w:basedOn w:val="Policepardfaut"/>
    <w:uiPriority w:val="99"/>
    <w:unhideWhenUsed/>
    <w:rsid w:val="00CB31B4"/>
    <w:rPr>
      <w:color w:val="467886" w:themeColor="hyperlink"/>
      <w:u w:val="single"/>
    </w:rPr>
  </w:style>
  <w:style w:type="paragraph" w:customStyle="1" w:styleId="Standard">
    <w:name w:val="Standard"/>
    <w:rsid w:val="00CB31B4"/>
    <w:pPr>
      <w:suppressAutoHyphens/>
      <w:autoSpaceDN w:val="0"/>
      <w:textAlignment w:val="baseline"/>
    </w:pPr>
    <w:rPr>
      <w:rFonts w:ascii="Calibri" w:eastAsia="SimSun" w:hAnsi="Calibri" w:cs="F"/>
      <w:kern w:val="3"/>
      <w14:ligatures w14:val="none"/>
    </w:rPr>
  </w:style>
  <w:style w:type="paragraph" w:customStyle="1" w:styleId="Default">
    <w:name w:val="Default"/>
    <w:rsid w:val="00CB31B4"/>
    <w:pPr>
      <w:autoSpaceDE w:val="0"/>
      <w:autoSpaceDN w:val="0"/>
      <w:adjustRightInd w:val="0"/>
      <w:spacing w:after="0" w:line="240" w:lineRule="auto"/>
    </w:pPr>
    <w:rPr>
      <w:rFonts w:ascii="Calibri" w:hAnsi="Calibri" w:cs="Calibri"/>
      <w:color w:val="000000"/>
      <w:kern w:val="0"/>
      <w:sz w:val="24"/>
      <w:szCs w:val="24"/>
    </w:rPr>
  </w:style>
  <w:style w:type="paragraph" w:styleId="Sansinterligne">
    <w:name w:val="No Spacing"/>
    <w:uiPriority w:val="1"/>
    <w:qFormat/>
    <w:rsid w:val="00CB31B4"/>
    <w:pPr>
      <w:spacing w:after="0" w:line="240" w:lineRule="auto"/>
    </w:pPr>
  </w:style>
  <w:style w:type="paragraph" w:styleId="En-ttedetabledesmatires">
    <w:name w:val="TOC Heading"/>
    <w:basedOn w:val="Titre1"/>
    <w:next w:val="Normal"/>
    <w:uiPriority w:val="39"/>
    <w:unhideWhenUsed/>
    <w:qFormat/>
    <w:rsid w:val="00CB31B4"/>
    <w:pPr>
      <w:spacing w:before="240" w:after="0"/>
      <w:jc w:val="left"/>
      <w:outlineLvl w:val="9"/>
    </w:pPr>
    <w:rPr>
      <w:kern w:val="0"/>
      <w:sz w:val="32"/>
      <w:szCs w:val="32"/>
      <w:lang w:eastAsia="fr-FR"/>
      <w14:ligatures w14:val="none"/>
    </w:rPr>
  </w:style>
  <w:style w:type="paragraph" w:styleId="TM1">
    <w:name w:val="toc 1"/>
    <w:basedOn w:val="Normal"/>
    <w:next w:val="Normal"/>
    <w:autoRedefine/>
    <w:uiPriority w:val="39"/>
    <w:unhideWhenUsed/>
    <w:rsid w:val="004F7755"/>
    <w:pPr>
      <w:tabs>
        <w:tab w:val="right" w:leader="dot" w:pos="9062"/>
      </w:tabs>
      <w:spacing w:after="100"/>
    </w:pPr>
    <w:rPr>
      <w:rFonts w:eastAsia="Calibri"/>
      <w:noProof/>
      <w:color w:val="0F9ED5" w:themeColor="accent4"/>
    </w:rPr>
  </w:style>
  <w:style w:type="paragraph" w:styleId="TM2">
    <w:name w:val="toc 2"/>
    <w:basedOn w:val="Normal"/>
    <w:next w:val="Normal"/>
    <w:autoRedefine/>
    <w:uiPriority w:val="39"/>
    <w:unhideWhenUsed/>
    <w:rsid w:val="00CB31B4"/>
    <w:pPr>
      <w:spacing w:after="100"/>
      <w:ind w:left="220"/>
    </w:pPr>
  </w:style>
  <w:style w:type="paragraph" w:styleId="En-tte">
    <w:name w:val="header"/>
    <w:basedOn w:val="Normal"/>
    <w:link w:val="En-tteCar"/>
    <w:uiPriority w:val="99"/>
    <w:unhideWhenUsed/>
    <w:rsid w:val="00F24A04"/>
    <w:pPr>
      <w:tabs>
        <w:tab w:val="center" w:pos="4536"/>
        <w:tab w:val="right" w:pos="9072"/>
      </w:tabs>
      <w:spacing w:after="0" w:line="240" w:lineRule="auto"/>
    </w:pPr>
  </w:style>
  <w:style w:type="character" w:customStyle="1" w:styleId="En-tteCar">
    <w:name w:val="En-tête Car"/>
    <w:basedOn w:val="Policepardfaut"/>
    <w:link w:val="En-tte"/>
    <w:uiPriority w:val="99"/>
    <w:rsid w:val="00F24A04"/>
  </w:style>
  <w:style w:type="paragraph" w:styleId="Pieddepage">
    <w:name w:val="footer"/>
    <w:basedOn w:val="Normal"/>
    <w:link w:val="PieddepageCar"/>
    <w:uiPriority w:val="99"/>
    <w:unhideWhenUsed/>
    <w:rsid w:val="00F24A0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24A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riculture.gouv.fr/indicateur-de-frequence-de-traitements-phytosanitaires-if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se-environnement.developpement-durable.gouv.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se-environnement.developpement-durable.gouv.fr/" TargetMode="External"/><Relationship Id="rId5" Type="http://schemas.openxmlformats.org/officeDocument/2006/relationships/numbering" Target="numbering.xml"/><Relationship Id="rId15" Type="http://schemas.openxmlformats.org/officeDocument/2006/relationships/hyperlink" Target="https://alim.agriculture.gouv.fr/ift/faq/dose-referenc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lim.agriculture.gouv.fr/if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0c11cb-d6d0-447e-9a66-46c3d8e683ff" xsi:nil="true"/>
    <lcf76f155ced4ddcb4097134ff3c332f xmlns="da8b8383-e2d1-46ec-a265-99138390593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2CF4DC486DA7E4B83163488572D7A17" ma:contentTypeVersion="10" ma:contentTypeDescription="Create a new document." ma:contentTypeScope="" ma:versionID="279af98632cd10d5c572f10d94881fc3">
  <xsd:schema xmlns:xsd="http://www.w3.org/2001/XMLSchema" xmlns:xs="http://www.w3.org/2001/XMLSchema" xmlns:p="http://schemas.microsoft.com/office/2006/metadata/properties" xmlns:ns2="da8b8383-e2d1-46ec-a265-991383905931" xmlns:ns3="a90c11cb-d6d0-447e-9a66-46c3d8e683ff" targetNamespace="http://schemas.microsoft.com/office/2006/metadata/properties" ma:root="true" ma:fieldsID="d7c2d023076b76cbafdd160b5f7eb139" ns2:_="" ns3:_="">
    <xsd:import namespace="da8b8383-e2d1-46ec-a265-991383905931"/>
    <xsd:import namespace="a90c11cb-d6d0-447e-9a66-46c3d8e683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8b8383-e2d1-46ec-a265-9913839059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498e138-10ad-4e45-a616-48606944e53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c11cb-d6d0-447e-9a66-46c3d8e683f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09f2e1-039d-44ef-88c6-d8daa6428574}" ma:internalName="TaxCatchAll" ma:showField="CatchAllData" ma:web="a90c11cb-d6d0-447e-9a66-46c3d8e683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48F182-0E66-4DF5-9F9B-B0BDAE9AF264}">
  <ds:schemaRefs>
    <ds:schemaRef ds:uri="http://schemas.microsoft.com/office/infopath/2007/PartnerControls"/>
    <ds:schemaRef ds:uri="http://purl.org/dc/elements/1.1/"/>
    <ds:schemaRef ds:uri="http://schemas.openxmlformats.org/package/2006/metadata/core-properties"/>
    <ds:schemaRef ds:uri="a90c11cb-d6d0-447e-9a66-46c3d8e683ff"/>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da8b8383-e2d1-46ec-a265-991383905931"/>
  </ds:schemaRefs>
</ds:datastoreItem>
</file>

<file path=customXml/itemProps2.xml><?xml version="1.0" encoding="utf-8"?>
<ds:datastoreItem xmlns:ds="http://schemas.openxmlformats.org/officeDocument/2006/customXml" ds:itemID="{7515AACB-A85D-44F2-AD92-9FE0BA175531}">
  <ds:schemaRefs>
    <ds:schemaRef ds:uri="http://schemas.openxmlformats.org/officeDocument/2006/bibliography"/>
  </ds:schemaRefs>
</ds:datastoreItem>
</file>

<file path=customXml/itemProps3.xml><?xml version="1.0" encoding="utf-8"?>
<ds:datastoreItem xmlns:ds="http://schemas.openxmlformats.org/officeDocument/2006/customXml" ds:itemID="{795A1EFB-4681-487B-A6C5-14B42EA29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8b8383-e2d1-46ec-a265-991383905931"/>
    <ds:schemaRef ds:uri="a90c11cb-d6d0-447e-9a66-46c3d8e68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04835E-882B-4E7D-BBBC-E699B8726B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4282</Words>
  <Characters>23555</Characters>
  <Application>Microsoft Office Word</Application>
  <DocSecurity>0</DocSecurity>
  <Lines>196</Lines>
  <Paragraphs>55</Paragraphs>
  <ScaleCrop>false</ScaleCrop>
  <Company>L'agence de l'eau</Company>
  <LinksUpToDate>false</LinksUpToDate>
  <CharactersWithSpaces>27782</CharactersWithSpaces>
  <SharedDoc>false</SharedDoc>
  <HLinks>
    <vt:vector size="132" baseType="variant">
      <vt:variant>
        <vt:i4>6553696</vt:i4>
      </vt:variant>
      <vt:variant>
        <vt:i4>120</vt:i4>
      </vt:variant>
      <vt:variant>
        <vt:i4>0</vt:i4>
      </vt:variant>
      <vt:variant>
        <vt:i4>5</vt:i4>
      </vt:variant>
      <vt:variant>
        <vt:lpwstr>https://alim.agriculture.gouv.fr/ift/faq/dose-reference</vt:lpwstr>
      </vt:variant>
      <vt:variant>
        <vt:lpwstr/>
      </vt:variant>
      <vt:variant>
        <vt:i4>5177347</vt:i4>
      </vt:variant>
      <vt:variant>
        <vt:i4>117</vt:i4>
      </vt:variant>
      <vt:variant>
        <vt:i4>0</vt:i4>
      </vt:variant>
      <vt:variant>
        <vt:i4>5</vt:i4>
      </vt:variant>
      <vt:variant>
        <vt:lpwstr>https://alim.agriculture.gouv.fr/ift/</vt:lpwstr>
      </vt:variant>
      <vt:variant>
        <vt:lpwstr/>
      </vt:variant>
      <vt:variant>
        <vt:i4>6619233</vt:i4>
      </vt:variant>
      <vt:variant>
        <vt:i4>114</vt:i4>
      </vt:variant>
      <vt:variant>
        <vt:i4>0</vt:i4>
      </vt:variant>
      <vt:variant>
        <vt:i4>5</vt:i4>
      </vt:variant>
      <vt:variant>
        <vt:lpwstr>https://agriculture.gouv.fr/indicateur-de-frequence-de-traitements-phytosanitaires-ift</vt:lpwstr>
      </vt:variant>
      <vt:variant>
        <vt:lpwstr/>
      </vt:variant>
      <vt:variant>
        <vt:i4>1703989</vt:i4>
      </vt:variant>
      <vt:variant>
        <vt:i4>107</vt:i4>
      </vt:variant>
      <vt:variant>
        <vt:i4>0</vt:i4>
      </vt:variant>
      <vt:variant>
        <vt:i4>5</vt:i4>
      </vt:variant>
      <vt:variant>
        <vt:lpwstr/>
      </vt:variant>
      <vt:variant>
        <vt:lpwstr>_Toc220428535</vt:lpwstr>
      </vt:variant>
      <vt:variant>
        <vt:i4>1703989</vt:i4>
      </vt:variant>
      <vt:variant>
        <vt:i4>101</vt:i4>
      </vt:variant>
      <vt:variant>
        <vt:i4>0</vt:i4>
      </vt:variant>
      <vt:variant>
        <vt:i4>5</vt:i4>
      </vt:variant>
      <vt:variant>
        <vt:lpwstr/>
      </vt:variant>
      <vt:variant>
        <vt:lpwstr>_Toc220428534</vt:lpwstr>
      </vt:variant>
      <vt:variant>
        <vt:i4>1703989</vt:i4>
      </vt:variant>
      <vt:variant>
        <vt:i4>95</vt:i4>
      </vt:variant>
      <vt:variant>
        <vt:i4>0</vt:i4>
      </vt:variant>
      <vt:variant>
        <vt:i4>5</vt:i4>
      </vt:variant>
      <vt:variant>
        <vt:lpwstr/>
      </vt:variant>
      <vt:variant>
        <vt:lpwstr>_Toc220428533</vt:lpwstr>
      </vt:variant>
      <vt:variant>
        <vt:i4>1703989</vt:i4>
      </vt:variant>
      <vt:variant>
        <vt:i4>89</vt:i4>
      </vt:variant>
      <vt:variant>
        <vt:i4>0</vt:i4>
      </vt:variant>
      <vt:variant>
        <vt:i4>5</vt:i4>
      </vt:variant>
      <vt:variant>
        <vt:lpwstr/>
      </vt:variant>
      <vt:variant>
        <vt:lpwstr>_Toc220428532</vt:lpwstr>
      </vt:variant>
      <vt:variant>
        <vt:i4>1703989</vt:i4>
      </vt:variant>
      <vt:variant>
        <vt:i4>83</vt:i4>
      </vt:variant>
      <vt:variant>
        <vt:i4>0</vt:i4>
      </vt:variant>
      <vt:variant>
        <vt:i4>5</vt:i4>
      </vt:variant>
      <vt:variant>
        <vt:lpwstr/>
      </vt:variant>
      <vt:variant>
        <vt:lpwstr>_Toc220428531</vt:lpwstr>
      </vt:variant>
      <vt:variant>
        <vt:i4>1703989</vt:i4>
      </vt:variant>
      <vt:variant>
        <vt:i4>77</vt:i4>
      </vt:variant>
      <vt:variant>
        <vt:i4>0</vt:i4>
      </vt:variant>
      <vt:variant>
        <vt:i4>5</vt:i4>
      </vt:variant>
      <vt:variant>
        <vt:lpwstr/>
      </vt:variant>
      <vt:variant>
        <vt:lpwstr>_Toc220428530</vt:lpwstr>
      </vt:variant>
      <vt:variant>
        <vt:i4>1769525</vt:i4>
      </vt:variant>
      <vt:variant>
        <vt:i4>71</vt:i4>
      </vt:variant>
      <vt:variant>
        <vt:i4>0</vt:i4>
      </vt:variant>
      <vt:variant>
        <vt:i4>5</vt:i4>
      </vt:variant>
      <vt:variant>
        <vt:lpwstr/>
      </vt:variant>
      <vt:variant>
        <vt:lpwstr>_Toc220428529</vt:lpwstr>
      </vt:variant>
      <vt:variant>
        <vt:i4>1769525</vt:i4>
      </vt:variant>
      <vt:variant>
        <vt:i4>65</vt:i4>
      </vt:variant>
      <vt:variant>
        <vt:i4>0</vt:i4>
      </vt:variant>
      <vt:variant>
        <vt:i4>5</vt:i4>
      </vt:variant>
      <vt:variant>
        <vt:lpwstr/>
      </vt:variant>
      <vt:variant>
        <vt:lpwstr>_Toc220428528</vt:lpwstr>
      </vt:variant>
      <vt:variant>
        <vt:i4>1769525</vt:i4>
      </vt:variant>
      <vt:variant>
        <vt:i4>59</vt:i4>
      </vt:variant>
      <vt:variant>
        <vt:i4>0</vt:i4>
      </vt:variant>
      <vt:variant>
        <vt:i4>5</vt:i4>
      </vt:variant>
      <vt:variant>
        <vt:lpwstr/>
      </vt:variant>
      <vt:variant>
        <vt:lpwstr>_Toc220428527</vt:lpwstr>
      </vt:variant>
      <vt:variant>
        <vt:i4>1769525</vt:i4>
      </vt:variant>
      <vt:variant>
        <vt:i4>53</vt:i4>
      </vt:variant>
      <vt:variant>
        <vt:i4>0</vt:i4>
      </vt:variant>
      <vt:variant>
        <vt:i4>5</vt:i4>
      </vt:variant>
      <vt:variant>
        <vt:lpwstr/>
      </vt:variant>
      <vt:variant>
        <vt:lpwstr>_Toc220428526</vt:lpwstr>
      </vt:variant>
      <vt:variant>
        <vt:i4>1769525</vt:i4>
      </vt:variant>
      <vt:variant>
        <vt:i4>47</vt:i4>
      </vt:variant>
      <vt:variant>
        <vt:i4>0</vt:i4>
      </vt:variant>
      <vt:variant>
        <vt:i4>5</vt:i4>
      </vt:variant>
      <vt:variant>
        <vt:lpwstr/>
      </vt:variant>
      <vt:variant>
        <vt:lpwstr>_Toc220428525</vt:lpwstr>
      </vt:variant>
      <vt:variant>
        <vt:i4>1769525</vt:i4>
      </vt:variant>
      <vt:variant>
        <vt:i4>41</vt:i4>
      </vt:variant>
      <vt:variant>
        <vt:i4>0</vt:i4>
      </vt:variant>
      <vt:variant>
        <vt:i4>5</vt:i4>
      </vt:variant>
      <vt:variant>
        <vt:lpwstr/>
      </vt:variant>
      <vt:variant>
        <vt:lpwstr>_Toc220428524</vt:lpwstr>
      </vt:variant>
      <vt:variant>
        <vt:i4>1769525</vt:i4>
      </vt:variant>
      <vt:variant>
        <vt:i4>35</vt:i4>
      </vt:variant>
      <vt:variant>
        <vt:i4>0</vt:i4>
      </vt:variant>
      <vt:variant>
        <vt:i4>5</vt:i4>
      </vt:variant>
      <vt:variant>
        <vt:lpwstr/>
      </vt:variant>
      <vt:variant>
        <vt:lpwstr>_Toc220428523</vt:lpwstr>
      </vt:variant>
      <vt:variant>
        <vt:i4>1769525</vt:i4>
      </vt:variant>
      <vt:variant>
        <vt:i4>29</vt:i4>
      </vt:variant>
      <vt:variant>
        <vt:i4>0</vt:i4>
      </vt:variant>
      <vt:variant>
        <vt:i4>5</vt:i4>
      </vt:variant>
      <vt:variant>
        <vt:lpwstr/>
      </vt:variant>
      <vt:variant>
        <vt:lpwstr>_Toc220428522</vt:lpwstr>
      </vt:variant>
      <vt:variant>
        <vt:i4>1769525</vt:i4>
      </vt:variant>
      <vt:variant>
        <vt:i4>23</vt:i4>
      </vt:variant>
      <vt:variant>
        <vt:i4>0</vt:i4>
      </vt:variant>
      <vt:variant>
        <vt:i4>5</vt:i4>
      </vt:variant>
      <vt:variant>
        <vt:lpwstr/>
      </vt:variant>
      <vt:variant>
        <vt:lpwstr>_Toc220428521</vt:lpwstr>
      </vt:variant>
      <vt:variant>
        <vt:i4>1769525</vt:i4>
      </vt:variant>
      <vt:variant>
        <vt:i4>17</vt:i4>
      </vt:variant>
      <vt:variant>
        <vt:i4>0</vt:i4>
      </vt:variant>
      <vt:variant>
        <vt:i4>5</vt:i4>
      </vt:variant>
      <vt:variant>
        <vt:lpwstr/>
      </vt:variant>
      <vt:variant>
        <vt:lpwstr>_Toc220428520</vt:lpwstr>
      </vt:variant>
      <vt:variant>
        <vt:i4>1572917</vt:i4>
      </vt:variant>
      <vt:variant>
        <vt:i4>11</vt:i4>
      </vt:variant>
      <vt:variant>
        <vt:i4>0</vt:i4>
      </vt:variant>
      <vt:variant>
        <vt:i4>5</vt:i4>
      </vt:variant>
      <vt:variant>
        <vt:lpwstr/>
      </vt:variant>
      <vt:variant>
        <vt:lpwstr>_Toc220428519</vt:lpwstr>
      </vt:variant>
      <vt:variant>
        <vt:i4>1572917</vt:i4>
      </vt:variant>
      <vt:variant>
        <vt:i4>5</vt:i4>
      </vt:variant>
      <vt:variant>
        <vt:i4>0</vt:i4>
      </vt:variant>
      <vt:variant>
        <vt:i4>5</vt:i4>
      </vt:variant>
      <vt:variant>
        <vt:lpwstr/>
      </vt:variant>
      <vt:variant>
        <vt:lpwstr>_Toc220428518</vt:lpwstr>
      </vt:variant>
      <vt:variant>
        <vt:i4>5439499</vt:i4>
      </vt:variant>
      <vt:variant>
        <vt:i4>0</vt:i4>
      </vt:variant>
      <vt:variant>
        <vt:i4>0</vt:i4>
      </vt:variant>
      <vt:variant>
        <vt:i4>5</vt:i4>
      </vt:variant>
      <vt:variant>
        <vt:lpwstr>https://pse-environnement.developpement-durable.gouv.fr/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BERTEAU Maxime</dc:creator>
  <cp:keywords/>
  <dc:description/>
  <cp:lastModifiedBy>CHAMPSEIX Nicolas</cp:lastModifiedBy>
  <cp:revision>2</cp:revision>
  <dcterms:created xsi:type="dcterms:W3CDTF">2026-02-27T15:07:00Z</dcterms:created>
  <dcterms:modified xsi:type="dcterms:W3CDTF">2026-02-27T15:07:00Z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0x010100A2CF4DC486DA7E4B83163488572D7A17</vt:lpwstr>
  </property>
  <property fmtid="{D5CDD505-2E9C-101B-9397-08002B2CF9AE}" pid="3" name="MediaServiceImageTags">
    <vt:lpwstr/>
  </property>
</Properties>
</file>